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A4E41" w14:textId="77777777" w:rsidR="00645437" w:rsidRDefault="00645437">
      <w:pPr>
        <w:pBdr>
          <w:top w:val="nil"/>
          <w:left w:val="nil"/>
          <w:bottom w:val="nil"/>
          <w:right w:val="nil"/>
          <w:between w:val="nil"/>
        </w:pBdr>
        <w:rPr>
          <w:rFonts w:ascii="Verdana" w:eastAsia="Verdana" w:hAnsi="Verdana" w:cs="Verdana"/>
          <w:b/>
          <w:color w:val="CA7700"/>
          <w:sz w:val="26"/>
          <w:szCs w:val="26"/>
        </w:rPr>
      </w:pPr>
    </w:p>
    <w:p w14:paraId="0DAA4E42" w14:textId="77777777" w:rsidR="00645437" w:rsidRDefault="00F16D00">
      <w:pPr>
        <w:pBdr>
          <w:top w:val="nil"/>
          <w:left w:val="nil"/>
          <w:bottom w:val="nil"/>
          <w:right w:val="nil"/>
          <w:between w:val="nil"/>
        </w:pBdr>
        <w:rPr>
          <w:rFonts w:ascii="Verdana" w:eastAsia="Verdana" w:hAnsi="Verdana" w:cs="Verdana"/>
          <w:b/>
          <w:color w:val="CA7700"/>
          <w:sz w:val="26"/>
          <w:szCs w:val="26"/>
        </w:rPr>
      </w:pPr>
      <w:r>
        <w:rPr>
          <w:rFonts w:ascii="Verdana" w:eastAsia="Verdana" w:hAnsi="Verdana" w:cs="Verdana"/>
          <w:b/>
          <w:color w:val="CA7700"/>
          <w:sz w:val="26"/>
          <w:szCs w:val="26"/>
        </w:rPr>
        <w:t>Module 5: Role of Medical and Mental Health Practitioners in Investigations</w:t>
      </w:r>
    </w:p>
    <w:p w14:paraId="0DAA4E43" w14:textId="77777777" w:rsidR="00645437" w:rsidRDefault="00645437">
      <w:pPr>
        <w:rPr>
          <w:rFonts w:ascii="Calibri" w:eastAsia="Calibri" w:hAnsi="Calibri" w:cs="Calibri"/>
        </w:rPr>
      </w:pPr>
    </w:p>
    <w:p w14:paraId="0DAA4E44" w14:textId="77777777" w:rsidR="00645437" w:rsidRDefault="00F16D00">
      <w:pPr>
        <w:tabs>
          <w:tab w:val="left" w:pos="7290"/>
        </w:tabs>
        <w:rPr>
          <w:rFonts w:ascii="Calibri" w:eastAsia="Calibri" w:hAnsi="Calibri" w:cs="Calibri"/>
          <w:b/>
        </w:rPr>
      </w:pPr>
      <w:r>
        <w:rPr>
          <w:rFonts w:ascii="Calibri" w:eastAsia="Calibri" w:hAnsi="Calibri" w:cs="Calibri"/>
          <w:b/>
        </w:rPr>
        <w:t>Time: 3:15 p.m. – 4:45 p.m. (1 hour and 30 min)</w:t>
      </w:r>
    </w:p>
    <w:p w14:paraId="0DAA4E45" w14:textId="77777777" w:rsidR="00645437" w:rsidRDefault="00645437">
      <w:pPr>
        <w:tabs>
          <w:tab w:val="left" w:pos="7290"/>
        </w:tabs>
        <w:rPr>
          <w:rFonts w:ascii="Calibri" w:eastAsia="Calibri" w:hAnsi="Calibri" w:cs="Calibri"/>
          <w:b/>
        </w:rPr>
      </w:pPr>
    </w:p>
    <w:p w14:paraId="0DAA4E46" w14:textId="77777777" w:rsidR="00645437" w:rsidRDefault="00F16D00">
      <w:pPr>
        <w:tabs>
          <w:tab w:val="left" w:pos="7290"/>
        </w:tabs>
        <w:rPr>
          <w:rFonts w:ascii="Calibri" w:eastAsia="Calibri" w:hAnsi="Calibri" w:cs="Calibri"/>
          <w:b/>
        </w:rPr>
      </w:pPr>
      <w:r>
        <w:rPr>
          <w:rFonts w:ascii="Calibri" w:eastAsia="Calibri" w:hAnsi="Calibri" w:cs="Calibri"/>
          <w:b/>
        </w:rPr>
        <w:t>Training Objectives:</w:t>
      </w:r>
    </w:p>
    <w:p w14:paraId="0DAA4E47" w14:textId="77777777" w:rsidR="00645437" w:rsidRDefault="00645437">
      <w:pPr>
        <w:tabs>
          <w:tab w:val="left" w:pos="7290"/>
        </w:tabs>
        <w:rPr>
          <w:rFonts w:ascii="Calibri" w:eastAsia="Calibri" w:hAnsi="Calibri" w:cs="Calibri"/>
          <w:b/>
        </w:rPr>
      </w:pPr>
    </w:p>
    <w:p w14:paraId="0DAA4E48" w14:textId="77777777" w:rsidR="00645437" w:rsidRDefault="00F16D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Understand the PREA standards applying to medical and mental health care practitioners in the investigative process</w:t>
      </w:r>
    </w:p>
    <w:p w14:paraId="0DAA4E49" w14:textId="77777777" w:rsidR="00645437" w:rsidRDefault="00F16D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the steps of the forensic medical exam process</w:t>
      </w:r>
    </w:p>
    <w:p w14:paraId="0DAA4E4A" w14:textId="77777777" w:rsidR="00645437" w:rsidRDefault="00F16D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role of victim advocates</w:t>
      </w:r>
    </w:p>
    <w:p w14:paraId="0DAA4E4B" w14:textId="77777777" w:rsidR="00645437" w:rsidRDefault="00645437">
      <w:pPr>
        <w:tabs>
          <w:tab w:val="left" w:pos="7290"/>
        </w:tabs>
        <w:rPr>
          <w:rFonts w:ascii="Calibri" w:eastAsia="Calibri" w:hAnsi="Calibri" w:cs="Calibri"/>
        </w:rPr>
      </w:pPr>
    </w:p>
    <w:p w14:paraId="0DAA4E4C" w14:textId="77777777" w:rsidR="00645437" w:rsidRDefault="00F16D00">
      <w:pPr>
        <w:tabs>
          <w:tab w:val="left" w:pos="7290"/>
        </w:tabs>
        <w:rPr>
          <w:rFonts w:ascii="Calibri" w:eastAsia="Calibri" w:hAnsi="Calibri" w:cs="Calibri"/>
          <w:b/>
        </w:rPr>
      </w:pPr>
      <w:r>
        <w:rPr>
          <w:rFonts w:ascii="Calibri" w:eastAsia="Calibri" w:hAnsi="Calibri" w:cs="Calibri"/>
          <w:b/>
        </w:rPr>
        <w:t>Materials Needed:</w:t>
      </w:r>
    </w:p>
    <w:p w14:paraId="0DAA4E4D" w14:textId="77777777" w:rsidR="00645437" w:rsidRDefault="00645437">
      <w:pPr>
        <w:rPr>
          <w:rFonts w:ascii="Calibri" w:eastAsia="Calibri" w:hAnsi="Calibri" w:cs="Calibri"/>
        </w:rPr>
      </w:pPr>
    </w:p>
    <w:p w14:paraId="0DAA4E4E" w14:textId="77777777" w:rsidR="00645437" w:rsidRDefault="00F16D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Easel pad and markers</w:t>
      </w:r>
    </w:p>
    <w:p w14:paraId="0DAA4E4F" w14:textId="77777777" w:rsidR="00645437" w:rsidRDefault="00F16D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PowerPoint® player/machine (</w:t>
      </w:r>
      <w:r>
        <w:rPr>
          <w:rFonts w:ascii="Calibri" w:eastAsia="Calibri" w:hAnsi="Calibri" w:cs="Calibri"/>
        </w:rPr>
        <w:t>laptop</w:t>
      </w:r>
      <w:r>
        <w:rPr>
          <w:rFonts w:ascii="Calibri" w:eastAsia="Calibri" w:hAnsi="Calibri" w:cs="Calibri"/>
          <w:color w:val="000000"/>
        </w:rPr>
        <w:t xml:space="preserve"> computer and LCD projector)</w:t>
      </w:r>
    </w:p>
    <w:p w14:paraId="0DAA4E50" w14:textId="77777777" w:rsidR="00645437" w:rsidRDefault="00F16D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Screen or monitor</w:t>
      </w:r>
      <w:r>
        <w:rPr>
          <w:rFonts w:ascii="Calibri" w:eastAsia="Calibri" w:hAnsi="Calibri" w:cs="Calibri"/>
          <w:color w:val="000000"/>
        </w:rPr>
        <w:tab/>
      </w:r>
    </w:p>
    <w:p w14:paraId="0DAA4E51" w14:textId="77777777" w:rsidR="00645437" w:rsidRDefault="00F16D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Handout: United States Department of Justice National Standards to Prevent, Detect, and Respond to Prison Rape (2012). Note that both the Prison and Jails Standards and the Juvenile Standards are provided as handouts. Select the set of standards appropriate to the population of your agency. </w:t>
      </w:r>
    </w:p>
    <w:p w14:paraId="0DAA4E52" w14:textId="77777777" w:rsidR="00645437" w:rsidRDefault="00645437">
      <w:pPr>
        <w:pBdr>
          <w:top w:val="nil"/>
          <w:left w:val="nil"/>
          <w:bottom w:val="nil"/>
          <w:right w:val="nil"/>
          <w:between w:val="nil"/>
        </w:pBdr>
        <w:rPr>
          <w:rFonts w:ascii="Calibri" w:eastAsia="Calibri" w:hAnsi="Calibri" w:cs="Calibri"/>
          <w:color w:val="000000"/>
        </w:rPr>
      </w:pPr>
    </w:p>
    <w:p w14:paraId="0DAA4E53" w14:textId="77777777" w:rsidR="00645437" w:rsidRDefault="00F16D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module was developed by Christine Kregg of Just Detention International and Charma Blount of the Texas Department of Criminal Justice in conjunction with The Moss Group, Inc.</w:t>
      </w:r>
    </w:p>
    <w:p w14:paraId="0DAA4E54" w14:textId="77777777" w:rsidR="00645437" w:rsidRDefault="00F16D00">
      <w:pPr>
        <w:tabs>
          <w:tab w:val="left" w:pos="7290"/>
        </w:tabs>
        <w:rPr>
          <w:rFonts w:ascii="Calibri" w:eastAsia="Calibri" w:hAnsi="Calibri" w:cs="Calibri"/>
        </w:rPr>
      </w:pPr>
      <w:r>
        <w:rPr>
          <w:rFonts w:ascii="Calibri" w:eastAsia="Calibri" w:hAnsi="Calibri" w:cs="Calibri"/>
        </w:rPr>
        <w:t xml:space="preserve"> </w:t>
      </w:r>
    </w:p>
    <w:p w14:paraId="0DAA4E55" w14:textId="77777777" w:rsidR="00645437" w:rsidRDefault="00F16D00">
      <w:pPr>
        <w:tabs>
          <w:tab w:val="left" w:pos="7290"/>
        </w:tabs>
        <w:rPr>
          <w:rFonts w:ascii="Calibri" w:eastAsia="Calibri" w:hAnsi="Calibri" w:cs="Calibri"/>
          <w:b/>
        </w:rPr>
      </w:pPr>
      <w:r>
        <w:rPr>
          <w:rFonts w:ascii="Calibri" w:eastAsia="Calibri" w:hAnsi="Calibri" w:cs="Calibri"/>
          <w:b/>
        </w:rPr>
        <w:t>Training Tips:</w:t>
      </w:r>
    </w:p>
    <w:p w14:paraId="0DAA4E56" w14:textId="77777777" w:rsidR="00645437" w:rsidRDefault="00F16D00">
      <w:pPr>
        <w:numPr>
          <w:ilvl w:val="0"/>
          <w:numId w:val="5"/>
        </w:numPr>
        <w:pBdr>
          <w:top w:val="nil"/>
          <w:left w:val="nil"/>
          <w:bottom w:val="nil"/>
          <w:right w:val="nil"/>
          <w:between w:val="nil"/>
        </w:pBdr>
        <w:tabs>
          <w:tab w:val="left" w:pos="7290"/>
        </w:tabs>
        <w:rPr>
          <w:rFonts w:ascii="Calibri" w:eastAsia="Calibri" w:hAnsi="Calibri" w:cs="Calibri"/>
          <w:b/>
          <w:color w:val="000000"/>
        </w:rPr>
      </w:pPr>
      <w:r>
        <w:rPr>
          <w:rFonts w:ascii="Calibri" w:eastAsia="Calibri" w:hAnsi="Calibri" w:cs="Calibri"/>
          <w:color w:val="000000"/>
        </w:rPr>
        <w:t xml:space="preserve">The purpose of this module is to educate investigators on the role of medical and mental health staff in the investigative </w:t>
      </w:r>
      <w:proofErr w:type="gramStart"/>
      <w:r>
        <w:rPr>
          <w:rFonts w:ascii="Calibri" w:eastAsia="Calibri" w:hAnsi="Calibri" w:cs="Calibri"/>
          <w:color w:val="000000"/>
        </w:rPr>
        <w:t>process, and</w:t>
      </w:r>
      <w:proofErr w:type="gramEnd"/>
      <w:r>
        <w:rPr>
          <w:rFonts w:ascii="Calibri" w:eastAsia="Calibri" w:hAnsi="Calibri" w:cs="Calibri"/>
          <w:color w:val="000000"/>
        </w:rPr>
        <w:t xml:space="preserve"> encourage them to collaborate with the appropriate practitioners to enhance communication, victim outcomes, and the investigative process. </w:t>
      </w:r>
    </w:p>
    <w:p w14:paraId="0DAA4E57" w14:textId="77777777" w:rsidR="00645437" w:rsidRDefault="00F16D00">
      <w:pPr>
        <w:numPr>
          <w:ilvl w:val="0"/>
          <w:numId w:val="5"/>
        </w:numPr>
        <w:pBdr>
          <w:top w:val="nil"/>
          <w:left w:val="nil"/>
          <w:bottom w:val="nil"/>
          <w:right w:val="nil"/>
          <w:between w:val="nil"/>
        </w:pBdr>
        <w:tabs>
          <w:tab w:val="left" w:pos="7290"/>
        </w:tabs>
        <w:rPr>
          <w:rFonts w:ascii="Calibri" w:eastAsia="Calibri" w:hAnsi="Calibri" w:cs="Calibri"/>
          <w:color w:val="000000"/>
        </w:rPr>
      </w:pPr>
      <w:r>
        <w:rPr>
          <w:rFonts w:ascii="Calibri" w:eastAsia="Calibri" w:hAnsi="Calibri" w:cs="Calibri"/>
          <w:color w:val="000000"/>
        </w:rPr>
        <w:t xml:space="preserve">Consider bringing someone from your medical or mental health department to co-present this module and speak to agency policy and practices in the areas discussed in this module. Additionally, the central portion of this module is an in-depth overview of the forensic medical exam process. Consider bringing in a Sexual Assault Nurse Examiner (SANE) or someone from your medical department who has been appropriately trained to present that section of the module. </w:t>
      </w:r>
    </w:p>
    <w:p w14:paraId="0DAA4E58" w14:textId="77777777" w:rsidR="00645437" w:rsidRDefault="00F16D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Be advised that this module may contain material that utilizes concepts and language that may be upsetting or difficult for some participants. This may include statements referring to genitalia, sexual harassment, sexual abuse, trauma, and suicide. Videos used may also contain profanity. Please review all materials prior to using to ensure they are appropriate for use in your agency and make substitutions where needed. You should also consider providing a general notice to participants at the beginning of each training session. </w:t>
      </w:r>
    </w:p>
    <w:p w14:paraId="0DAA4E59" w14:textId="77777777" w:rsidR="00645437" w:rsidRDefault="00F16D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Please note that this module was developed specifically for facilities that use the Adult Prisons and Jail or Juvenile PREA Standards. Facilities using the Community Confinement or Lockup standards should review all standard references to ensure that the content and language is appropriate for their facility type and inmate/resident population and adjust the material as needed to their specific circumstance. </w:t>
      </w:r>
    </w:p>
    <w:p w14:paraId="0DAA4E5A" w14:textId="77777777" w:rsidR="00645437" w:rsidRDefault="00F16D00">
      <w:pPr>
        <w:pBdr>
          <w:top w:val="nil"/>
          <w:left w:val="nil"/>
          <w:bottom w:val="nil"/>
          <w:right w:val="nil"/>
          <w:between w:val="nil"/>
        </w:pBdr>
        <w:rPr>
          <w:rFonts w:ascii="Calibri" w:eastAsia="Calibri" w:hAnsi="Calibri" w:cs="Calibri"/>
          <w:color w:val="000000"/>
        </w:rPr>
      </w:pPr>
      <w:r>
        <w:rPr>
          <w:rFonts w:ascii="Quattrocento Sans" w:eastAsia="Quattrocento Sans" w:hAnsi="Quattrocento Sans" w:cs="Quattrocento Sans"/>
          <w:color w:val="242424"/>
        </w:rPr>
        <w:t> </w:t>
      </w:r>
    </w:p>
    <w:p w14:paraId="0DAA4E5B" w14:textId="77777777" w:rsidR="00645437" w:rsidRDefault="00645437">
      <w:pPr>
        <w:pBdr>
          <w:top w:val="nil"/>
          <w:left w:val="nil"/>
          <w:bottom w:val="nil"/>
          <w:right w:val="nil"/>
          <w:between w:val="nil"/>
        </w:pBdr>
        <w:tabs>
          <w:tab w:val="left" w:pos="7290"/>
        </w:tabs>
        <w:ind w:left="720"/>
        <w:rPr>
          <w:rFonts w:ascii="Calibri" w:eastAsia="Calibri" w:hAnsi="Calibri" w:cs="Calibri"/>
          <w:b/>
          <w:color w:val="000000"/>
        </w:rPr>
        <w:sectPr w:rsidR="00645437">
          <w:headerReference w:type="default" r:id="rId11"/>
          <w:footerReference w:type="default" r:id="rId12"/>
          <w:pgSz w:w="12240" w:h="15840"/>
          <w:pgMar w:top="1440" w:right="1440" w:bottom="1440" w:left="1440" w:header="720" w:footer="432" w:gutter="0"/>
          <w:pgNumType w:start="1"/>
          <w:cols w:space="720"/>
        </w:sectPr>
      </w:pPr>
    </w:p>
    <w:p w14:paraId="0DAA4E5C" w14:textId="77777777" w:rsidR="00645437" w:rsidRDefault="00645437">
      <w:pPr>
        <w:widowControl w:val="0"/>
        <w:pBdr>
          <w:top w:val="nil"/>
          <w:left w:val="nil"/>
          <w:bottom w:val="nil"/>
          <w:right w:val="nil"/>
          <w:between w:val="nil"/>
        </w:pBdr>
        <w:spacing w:line="276" w:lineRule="auto"/>
        <w:rPr>
          <w:rFonts w:ascii="Calibri" w:eastAsia="Calibri" w:hAnsi="Calibri" w:cs="Calibri"/>
          <w:b/>
          <w:color w:val="000000"/>
        </w:rPr>
      </w:pPr>
    </w:p>
    <w:tbl>
      <w:tblPr>
        <w:tblStyle w:val="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E60" w14:textId="77777777">
        <w:trPr>
          <w:trHeight w:val="377"/>
        </w:trPr>
        <w:tc>
          <w:tcPr>
            <w:tcW w:w="990" w:type="dxa"/>
            <w:tcBorders>
              <w:top w:val="single" w:sz="4" w:space="0" w:color="000000"/>
              <w:left w:val="single" w:sz="4" w:space="0" w:color="000000"/>
              <w:bottom w:val="single" w:sz="4" w:space="0" w:color="000000"/>
              <w:right w:val="single" w:sz="4" w:space="0" w:color="000000"/>
            </w:tcBorders>
            <w:shd w:val="clear" w:color="auto" w:fill="E6E6E6"/>
          </w:tcPr>
          <w:p w14:paraId="0DAA4E5D" w14:textId="77777777" w:rsidR="00645437" w:rsidRDefault="00F16D00">
            <w:pPr>
              <w:tabs>
                <w:tab w:val="left" w:pos="7290"/>
              </w:tabs>
              <w:jc w:val="center"/>
              <w:rPr>
                <w:rFonts w:ascii="Calibri" w:eastAsia="Calibri" w:hAnsi="Calibri" w:cs="Calibri"/>
                <w:b/>
                <w:color w:val="666699"/>
              </w:rPr>
            </w:pPr>
            <w:r>
              <w:rPr>
                <w:rFonts w:ascii="Calibri" w:eastAsia="Calibri" w:hAnsi="Calibri" w:cs="Calibri"/>
                <w:b/>
                <w:color w:val="666699"/>
              </w:rPr>
              <w:t>Time</w:t>
            </w:r>
          </w:p>
        </w:tc>
        <w:tc>
          <w:tcPr>
            <w:tcW w:w="6570" w:type="dxa"/>
            <w:tcBorders>
              <w:top w:val="single" w:sz="4" w:space="0" w:color="000000"/>
              <w:left w:val="single" w:sz="4" w:space="0" w:color="000000"/>
              <w:bottom w:val="single" w:sz="4" w:space="0" w:color="000000"/>
              <w:right w:val="single" w:sz="4" w:space="0" w:color="000000"/>
            </w:tcBorders>
            <w:shd w:val="clear" w:color="auto" w:fill="E6E6E6"/>
          </w:tcPr>
          <w:p w14:paraId="0DAA4E5E" w14:textId="77777777" w:rsidR="00645437" w:rsidRDefault="00F16D00">
            <w:pPr>
              <w:tabs>
                <w:tab w:val="left" w:pos="7290"/>
              </w:tabs>
              <w:spacing w:line="276" w:lineRule="auto"/>
              <w:jc w:val="center"/>
              <w:rPr>
                <w:rFonts w:ascii="Calibri" w:eastAsia="Calibri" w:hAnsi="Calibri" w:cs="Calibri"/>
                <w:b/>
                <w:color w:val="666699"/>
              </w:rPr>
            </w:pPr>
            <w:r>
              <w:rPr>
                <w:rFonts w:ascii="Calibri" w:eastAsia="Calibri" w:hAnsi="Calibri" w:cs="Calibri"/>
                <w:b/>
                <w:color w:val="666699"/>
              </w:rPr>
              <w:t>Lecture Notes</w:t>
            </w:r>
          </w:p>
        </w:tc>
        <w:tc>
          <w:tcPr>
            <w:tcW w:w="1800" w:type="dxa"/>
            <w:tcBorders>
              <w:top w:val="single" w:sz="4" w:space="0" w:color="000000"/>
              <w:left w:val="single" w:sz="4" w:space="0" w:color="000000"/>
              <w:bottom w:val="single" w:sz="4" w:space="0" w:color="000000"/>
              <w:right w:val="single" w:sz="4" w:space="0" w:color="000000"/>
            </w:tcBorders>
            <w:shd w:val="clear" w:color="auto" w:fill="E6E6E6"/>
          </w:tcPr>
          <w:p w14:paraId="0DAA4E5F" w14:textId="77777777" w:rsidR="00645437" w:rsidRDefault="00F16D00">
            <w:pPr>
              <w:tabs>
                <w:tab w:val="left" w:pos="7290"/>
              </w:tabs>
              <w:jc w:val="center"/>
              <w:rPr>
                <w:rFonts w:ascii="Calibri" w:eastAsia="Calibri" w:hAnsi="Calibri" w:cs="Calibri"/>
                <w:b/>
                <w:color w:val="666699"/>
              </w:rPr>
            </w:pPr>
            <w:r>
              <w:rPr>
                <w:rFonts w:ascii="Calibri" w:eastAsia="Calibri" w:hAnsi="Calibri" w:cs="Calibri"/>
                <w:b/>
                <w:color w:val="666699"/>
              </w:rPr>
              <w:t>Teaching Tips</w:t>
            </w:r>
          </w:p>
        </w:tc>
      </w:tr>
      <w:tr w:rsidR="00645437" w14:paraId="0DAA4E67" w14:textId="77777777">
        <w:tc>
          <w:tcPr>
            <w:tcW w:w="990" w:type="dxa"/>
            <w:tcBorders>
              <w:top w:val="single" w:sz="4" w:space="0" w:color="000000"/>
              <w:left w:val="single" w:sz="4" w:space="0" w:color="000000"/>
              <w:bottom w:val="single" w:sz="4" w:space="0" w:color="000000"/>
              <w:right w:val="single" w:sz="4" w:space="0" w:color="000000"/>
            </w:tcBorders>
          </w:tcPr>
          <w:p w14:paraId="0DAA4E61"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62" w14:textId="77777777" w:rsidR="00645437" w:rsidRDefault="00F16D00">
            <w:pPr>
              <w:spacing w:line="276" w:lineRule="auto"/>
              <w:jc w:val="center"/>
              <w:rPr>
                <w:rFonts w:ascii="Calibri" w:eastAsia="Calibri" w:hAnsi="Calibri" w:cs="Calibri"/>
                <w:b/>
              </w:rPr>
            </w:pPr>
            <w:r>
              <w:rPr>
                <w:rFonts w:ascii="Calibri" w:eastAsia="Calibri" w:hAnsi="Calibri" w:cs="Calibri"/>
                <w:b/>
              </w:rPr>
              <w:t>Medical and Mental Health Interventions</w:t>
            </w:r>
          </w:p>
          <w:p w14:paraId="0DAA4E63" w14:textId="77777777" w:rsidR="00645437" w:rsidRDefault="00F16D00">
            <w:pPr>
              <w:spacing w:line="276" w:lineRule="auto"/>
              <w:rPr>
                <w:rFonts w:ascii="Calibri" w:eastAsia="Calibri" w:hAnsi="Calibri" w:cs="Calibri"/>
                <w:b/>
              </w:rPr>
            </w:pPr>
            <w:r>
              <w:rPr>
                <w:rFonts w:ascii="Calibri" w:eastAsia="Calibri" w:hAnsi="Calibri" w:cs="Calibri"/>
              </w:rPr>
              <w:t>Why is this relevant to investigations? If victims don’t have medical/mental health care, they can’t cooperate in the investigation. Additionally, your knowledge of what types of care should be provided and your follow-up on this with the victim will build trust.</w:t>
            </w:r>
          </w:p>
        </w:tc>
        <w:tc>
          <w:tcPr>
            <w:tcW w:w="1800" w:type="dxa"/>
            <w:tcBorders>
              <w:top w:val="single" w:sz="4" w:space="0" w:color="000000"/>
              <w:left w:val="single" w:sz="4" w:space="0" w:color="000000"/>
              <w:bottom w:val="single" w:sz="4" w:space="0" w:color="000000"/>
              <w:right w:val="single" w:sz="4" w:space="0" w:color="000000"/>
            </w:tcBorders>
          </w:tcPr>
          <w:p w14:paraId="0DAA4E64"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6A" wp14:editId="0DAA506B">
                  <wp:extent cx="438150" cy="298450"/>
                  <wp:effectExtent l="0" t="0" r="0" b="0"/>
                  <wp:docPr id="1103"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65" w14:textId="77777777" w:rsidR="00645437" w:rsidRDefault="00F16D00">
            <w:pPr>
              <w:rPr>
                <w:rFonts w:ascii="Calibri" w:eastAsia="Calibri" w:hAnsi="Calibri" w:cs="Calibri"/>
                <w:b/>
                <w:sz w:val="20"/>
                <w:szCs w:val="20"/>
              </w:rPr>
            </w:pPr>
            <w:r>
              <w:rPr>
                <w:rFonts w:ascii="Calibri" w:eastAsia="Calibri" w:hAnsi="Calibri" w:cs="Calibri"/>
                <w:b/>
                <w:sz w:val="20"/>
                <w:szCs w:val="20"/>
              </w:rPr>
              <w:t>Medical and Mental Health Interventions</w:t>
            </w:r>
          </w:p>
          <w:p w14:paraId="0DAA4E66" w14:textId="77777777" w:rsidR="00645437" w:rsidRDefault="00645437">
            <w:pPr>
              <w:tabs>
                <w:tab w:val="left" w:pos="7290"/>
              </w:tabs>
              <w:rPr>
                <w:rFonts w:ascii="Calibri" w:eastAsia="Calibri" w:hAnsi="Calibri" w:cs="Calibri"/>
                <w:sz w:val="20"/>
                <w:szCs w:val="20"/>
              </w:rPr>
            </w:pPr>
          </w:p>
        </w:tc>
      </w:tr>
      <w:tr w:rsidR="00645437" w14:paraId="0DAA4E74" w14:textId="77777777">
        <w:tc>
          <w:tcPr>
            <w:tcW w:w="990" w:type="dxa"/>
            <w:tcBorders>
              <w:top w:val="single" w:sz="4" w:space="0" w:color="000000"/>
              <w:left w:val="single" w:sz="4" w:space="0" w:color="000000"/>
              <w:bottom w:val="single" w:sz="4" w:space="0" w:color="000000"/>
              <w:right w:val="single" w:sz="4" w:space="0" w:color="000000"/>
            </w:tcBorders>
          </w:tcPr>
          <w:p w14:paraId="0DAA4E68"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69"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Training Objectives</w:t>
            </w:r>
          </w:p>
          <w:p w14:paraId="0DAA4E6A"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6C" wp14:editId="0DAA506D">
                  <wp:extent cx="2804160" cy="2103120"/>
                  <wp:effectExtent l="38100" t="38100" r="38100" b="38100"/>
                  <wp:docPr id="110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6B" w14:textId="77777777" w:rsidR="00645437" w:rsidRDefault="00645437">
            <w:pPr>
              <w:tabs>
                <w:tab w:val="left" w:pos="7290"/>
              </w:tabs>
              <w:spacing w:line="276" w:lineRule="auto"/>
              <w:ind w:left="360"/>
              <w:rPr>
                <w:rFonts w:ascii="Calibri" w:eastAsia="Calibri" w:hAnsi="Calibri" w:cs="Calibri"/>
                <w:b/>
              </w:rPr>
            </w:pPr>
          </w:p>
        </w:tc>
        <w:tc>
          <w:tcPr>
            <w:tcW w:w="1800" w:type="dxa"/>
            <w:tcBorders>
              <w:top w:val="single" w:sz="4" w:space="0" w:color="000000"/>
              <w:left w:val="single" w:sz="4" w:space="0" w:color="000000"/>
              <w:bottom w:val="single" w:sz="4" w:space="0" w:color="000000"/>
              <w:right w:val="single" w:sz="4" w:space="0" w:color="000000"/>
            </w:tcBorders>
          </w:tcPr>
          <w:p w14:paraId="0DAA4E6C"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6E" wp14:editId="0DAA506F">
                  <wp:extent cx="438150" cy="298450"/>
                  <wp:effectExtent l="0" t="0" r="0" b="0"/>
                  <wp:docPr id="110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6D"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Objectives</w:t>
            </w:r>
          </w:p>
          <w:p w14:paraId="0DAA4E6E" w14:textId="77777777" w:rsidR="00645437" w:rsidRDefault="00645437">
            <w:pPr>
              <w:tabs>
                <w:tab w:val="left" w:pos="7290"/>
              </w:tabs>
              <w:rPr>
                <w:rFonts w:ascii="Calibri" w:eastAsia="Calibri" w:hAnsi="Calibri" w:cs="Calibri"/>
                <w:b/>
                <w:sz w:val="20"/>
                <w:szCs w:val="20"/>
              </w:rPr>
            </w:pPr>
          </w:p>
          <w:p w14:paraId="0DAA4E6F"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70" wp14:editId="0DAA5071">
                  <wp:extent cx="323850" cy="368300"/>
                  <wp:effectExtent l="0" t="0" r="0" b="0"/>
                  <wp:docPr id="1107" name="image32.png" descr="MCBS00263_0000[1]"/>
                  <wp:cNvGraphicFramePr/>
                  <a:graphic xmlns:a="http://schemas.openxmlformats.org/drawingml/2006/main">
                    <a:graphicData uri="http://schemas.openxmlformats.org/drawingml/2006/picture">
                      <pic:pic xmlns:pic="http://schemas.openxmlformats.org/drawingml/2006/picture">
                        <pic:nvPicPr>
                          <pic:cNvPr id="0" name="image32.png" descr="MCBS00263_0000[1]"/>
                          <pic:cNvPicPr preferRelativeResize="0"/>
                        </pic:nvPicPr>
                        <pic:blipFill>
                          <a:blip r:embed="rId15"/>
                          <a:srcRect/>
                          <a:stretch>
                            <a:fillRect/>
                          </a:stretch>
                        </pic:blipFill>
                        <pic:spPr>
                          <a:xfrm>
                            <a:off x="0" y="0"/>
                            <a:ext cx="323850" cy="368300"/>
                          </a:xfrm>
                          <a:prstGeom prst="rect">
                            <a:avLst/>
                          </a:prstGeom>
                          <a:ln/>
                        </pic:spPr>
                      </pic:pic>
                    </a:graphicData>
                  </a:graphic>
                </wp:inline>
              </w:drawing>
            </w:r>
          </w:p>
          <w:p w14:paraId="0DAA4E70" w14:textId="77777777" w:rsidR="00645437" w:rsidRDefault="00645437">
            <w:pPr>
              <w:tabs>
                <w:tab w:val="left" w:pos="7290"/>
              </w:tabs>
              <w:rPr>
                <w:rFonts w:ascii="Calibri" w:eastAsia="Calibri" w:hAnsi="Calibri" w:cs="Calibri"/>
                <w:sz w:val="20"/>
                <w:szCs w:val="20"/>
              </w:rPr>
            </w:pPr>
          </w:p>
          <w:p w14:paraId="0DAA4E71" w14:textId="77777777" w:rsidR="00645437" w:rsidRDefault="00F16D00">
            <w:pPr>
              <w:tabs>
                <w:tab w:val="left" w:pos="7290"/>
              </w:tabs>
              <w:rPr>
                <w:rFonts w:ascii="Calibri" w:eastAsia="Calibri" w:hAnsi="Calibri" w:cs="Calibri"/>
                <w:sz w:val="20"/>
                <w:szCs w:val="20"/>
              </w:rPr>
            </w:pPr>
            <w:r>
              <w:rPr>
                <w:rFonts w:ascii="Calibri" w:eastAsia="Calibri" w:hAnsi="Calibri" w:cs="Calibri"/>
                <w:sz w:val="20"/>
                <w:szCs w:val="20"/>
              </w:rPr>
              <w:t>Provide participants with a full copy of the PREA standards appropriate to the population of their agency. State that you will only be going over select standards, but you encourage them to review the full set of standards at their convenience.</w:t>
            </w:r>
          </w:p>
          <w:p w14:paraId="0DAA4E72" w14:textId="77777777" w:rsidR="00645437" w:rsidRDefault="00645437">
            <w:pPr>
              <w:tabs>
                <w:tab w:val="left" w:pos="7290"/>
              </w:tabs>
              <w:rPr>
                <w:rFonts w:ascii="Calibri" w:eastAsia="Calibri" w:hAnsi="Calibri" w:cs="Calibri"/>
                <w:sz w:val="20"/>
                <w:szCs w:val="20"/>
              </w:rPr>
            </w:pPr>
          </w:p>
          <w:p w14:paraId="0DAA4E73" w14:textId="77777777" w:rsidR="00645437" w:rsidRDefault="00F16D00">
            <w:pPr>
              <w:tabs>
                <w:tab w:val="left" w:pos="7290"/>
              </w:tabs>
              <w:rPr>
                <w:rFonts w:ascii="Calibri" w:eastAsia="Calibri" w:hAnsi="Calibri" w:cs="Calibri"/>
                <w:sz w:val="20"/>
                <w:szCs w:val="20"/>
              </w:rPr>
            </w:pPr>
            <w:r>
              <w:rPr>
                <w:rFonts w:ascii="Calibri" w:eastAsia="Calibri" w:hAnsi="Calibri" w:cs="Calibri"/>
                <w:sz w:val="20"/>
                <w:szCs w:val="20"/>
              </w:rPr>
              <w:t>Note that this module does not address all the PREA Standards. It only addresses those standards addressing the role of medical and mental health staff in investigations.</w:t>
            </w:r>
          </w:p>
        </w:tc>
      </w:tr>
    </w:tbl>
    <w:p w14:paraId="0DAA4E75" w14:textId="77777777" w:rsidR="00645437" w:rsidRDefault="00F16D00">
      <w:r>
        <w:br w:type="page"/>
      </w:r>
    </w:p>
    <w:tbl>
      <w:tblPr>
        <w:tblStyle w:val="a0"/>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E93" w14:textId="77777777">
        <w:tc>
          <w:tcPr>
            <w:tcW w:w="990" w:type="dxa"/>
            <w:tcBorders>
              <w:top w:val="single" w:sz="4" w:space="0" w:color="000000"/>
              <w:left w:val="single" w:sz="4" w:space="0" w:color="000000"/>
              <w:bottom w:val="single" w:sz="4" w:space="0" w:color="000000"/>
              <w:right w:val="single" w:sz="4" w:space="0" w:color="000000"/>
            </w:tcBorders>
          </w:tcPr>
          <w:p w14:paraId="0DAA4E76"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5 min</w:t>
            </w:r>
          </w:p>
        </w:tc>
        <w:tc>
          <w:tcPr>
            <w:tcW w:w="6570" w:type="dxa"/>
            <w:tcBorders>
              <w:top w:val="single" w:sz="4" w:space="0" w:color="000000"/>
              <w:left w:val="single" w:sz="4" w:space="0" w:color="000000"/>
              <w:bottom w:val="single" w:sz="4" w:space="0" w:color="000000"/>
              <w:right w:val="single" w:sz="4" w:space="0" w:color="000000"/>
            </w:tcBorders>
          </w:tcPr>
          <w:p w14:paraId="0DAA4E7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Evidence Protocol and Forensic Exams</w:t>
            </w:r>
          </w:p>
          <w:p w14:paraId="1A64938C" w14:textId="675341DE" w:rsidR="003878AE" w:rsidRDefault="004B74AC">
            <w:pPr>
              <w:tabs>
                <w:tab w:val="left" w:pos="7290"/>
              </w:tabs>
              <w:spacing w:line="276" w:lineRule="auto"/>
              <w:jc w:val="center"/>
              <w:rPr>
                <w:rFonts w:ascii="Calibri" w:eastAsia="Calibri" w:hAnsi="Calibri" w:cs="Calibri"/>
                <w:b/>
              </w:rPr>
            </w:pPr>
            <w:r>
              <w:rPr>
                <w:noProof/>
              </w:rPr>
              <w:drawing>
                <wp:inline distT="0" distB="0" distL="0" distR="0" wp14:anchorId="0012E035" wp14:editId="5E302FA3">
                  <wp:extent cx="2458720" cy="1844040"/>
                  <wp:effectExtent l="0" t="0" r="0" b="3810"/>
                  <wp:docPr id="1661093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9371" name=""/>
                          <pic:cNvPicPr/>
                        </pic:nvPicPr>
                        <pic:blipFill>
                          <a:blip r:embed="rId16">
                            <a:grayscl/>
                            <a:extLst>
                              <a:ext uri="{96DAC541-7B7A-43D3-8B79-37D633B846F1}">
                                <asvg:svgBlip xmlns:asvg="http://schemas.microsoft.com/office/drawing/2016/SVG/main" r:embed="rId17"/>
                              </a:ext>
                            </a:extLst>
                          </a:blip>
                          <a:stretch>
                            <a:fillRect/>
                          </a:stretch>
                        </pic:blipFill>
                        <pic:spPr>
                          <a:xfrm>
                            <a:off x="0" y="0"/>
                            <a:ext cx="2458720" cy="1844040"/>
                          </a:xfrm>
                          <a:prstGeom prst="rect">
                            <a:avLst/>
                          </a:prstGeom>
                        </pic:spPr>
                      </pic:pic>
                    </a:graphicData>
                  </a:graphic>
                </wp:inline>
              </w:drawing>
            </w:r>
          </w:p>
          <w:p w14:paraId="0DAA4E79" w14:textId="7A86EA2F"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PREA Standards require that investigations are conducted according to a uniform evidence protocol. The Standards recommend following the protocol in the U.S. Department of Justice’s Office on Violence Against Women publication, </w:t>
            </w:r>
            <w:r>
              <w:rPr>
                <w:rFonts w:ascii="Calibri" w:eastAsia="Calibri" w:hAnsi="Calibri" w:cs="Calibri"/>
                <w:i/>
              </w:rPr>
              <w:t>A National Protocol for Sexual Assault Medical Forensic Examinations, Adults/Adolescents</w:t>
            </w:r>
            <w:r>
              <w:rPr>
                <w:rFonts w:ascii="Calibri" w:eastAsia="Calibri" w:hAnsi="Calibri" w:cs="Calibri"/>
              </w:rPr>
              <w:t xml:space="preserve">. </w:t>
            </w:r>
          </w:p>
          <w:p w14:paraId="0DAA4E7A" w14:textId="77777777" w:rsidR="00645437" w:rsidRDefault="00645437">
            <w:pPr>
              <w:tabs>
                <w:tab w:val="left" w:pos="7290"/>
              </w:tabs>
              <w:spacing w:line="276" w:lineRule="auto"/>
              <w:rPr>
                <w:rFonts w:ascii="Calibri" w:eastAsia="Calibri" w:hAnsi="Calibri" w:cs="Calibri"/>
              </w:rPr>
            </w:pPr>
          </w:p>
          <w:p w14:paraId="0DAA4E7B"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purpose behind standard 115.21 is </w:t>
            </w:r>
          </w:p>
          <w:p w14:paraId="0DAA4E7C" w14:textId="77777777" w:rsidR="00645437" w:rsidRDefault="00F16D00">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To ensure all investigations are conducted using a consistent process, and </w:t>
            </w:r>
          </w:p>
          <w:p w14:paraId="0DAA4E7D" w14:textId="77777777" w:rsidR="00645437" w:rsidRDefault="00F16D00">
            <w:pPr>
              <w:numPr>
                <w:ilvl w:val="0"/>
                <w:numId w:val="7"/>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To ensure the process is in line with best practice. </w:t>
            </w:r>
          </w:p>
          <w:p w14:paraId="0DAA4E7E" w14:textId="77777777" w:rsidR="00645437" w:rsidRDefault="00645437">
            <w:pPr>
              <w:pBdr>
                <w:top w:val="nil"/>
                <w:left w:val="nil"/>
                <w:bottom w:val="nil"/>
                <w:right w:val="nil"/>
                <w:between w:val="nil"/>
              </w:pBdr>
              <w:tabs>
                <w:tab w:val="left" w:pos="7290"/>
              </w:tabs>
              <w:spacing w:line="276" w:lineRule="auto"/>
              <w:ind w:left="720"/>
              <w:rPr>
                <w:rFonts w:ascii="Calibri" w:eastAsia="Calibri" w:hAnsi="Calibri" w:cs="Calibri"/>
                <w:color w:val="000000"/>
              </w:rPr>
            </w:pPr>
          </w:p>
          <w:p w14:paraId="0DAA4E7F"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One element of the protocol that is required by the standards is the forensic medical exam. The standards require that all victims of sexual abuse be offered a forensic medical exam and that the exam be free of charge to the victim. Additionally, the standards require that the agency attempt to ensure that the exam be conducted by a Sexual Assault Nurse Examiner (SANE) or a Sexual Assault Forensic Examiner (SAFE) or, short of that, by other qualified medical practitioners. </w:t>
            </w:r>
          </w:p>
        </w:tc>
        <w:tc>
          <w:tcPr>
            <w:tcW w:w="1800" w:type="dxa"/>
            <w:tcBorders>
              <w:top w:val="single" w:sz="4" w:space="0" w:color="000000"/>
              <w:left w:val="single" w:sz="4" w:space="0" w:color="000000"/>
              <w:bottom w:val="single" w:sz="4" w:space="0" w:color="000000"/>
              <w:right w:val="single" w:sz="4" w:space="0" w:color="000000"/>
            </w:tcBorders>
          </w:tcPr>
          <w:p w14:paraId="0DAA4E80"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74" wp14:editId="0DAA5075">
                  <wp:extent cx="438150" cy="298450"/>
                  <wp:effectExtent l="0" t="0" r="0" b="0"/>
                  <wp:docPr id="111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81"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Evidence Protocol and Forensic Exams</w:t>
            </w:r>
          </w:p>
          <w:p w14:paraId="0DAA4E82" w14:textId="77777777" w:rsidR="00645437" w:rsidRDefault="00645437">
            <w:pPr>
              <w:rPr>
                <w:rFonts w:ascii="Calibri" w:eastAsia="Calibri" w:hAnsi="Calibri" w:cs="Calibri"/>
                <w:sz w:val="20"/>
                <w:szCs w:val="20"/>
              </w:rPr>
            </w:pPr>
          </w:p>
          <w:p w14:paraId="0DAA4E83" w14:textId="77777777" w:rsidR="00645437" w:rsidRDefault="00645437">
            <w:pPr>
              <w:rPr>
                <w:rFonts w:ascii="Calibri" w:eastAsia="Calibri" w:hAnsi="Calibri" w:cs="Calibri"/>
                <w:sz w:val="20"/>
                <w:szCs w:val="20"/>
              </w:rPr>
            </w:pPr>
          </w:p>
          <w:p w14:paraId="0DAA4E84" w14:textId="77777777" w:rsidR="00645437" w:rsidRDefault="00645437">
            <w:pPr>
              <w:rPr>
                <w:rFonts w:ascii="Calibri" w:eastAsia="Calibri" w:hAnsi="Calibri" w:cs="Calibri"/>
                <w:sz w:val="20"/>
                <w:szCs w:val="20"/>
              </w:rPr>
            </w:pPr>
          </w:p>
          <w:p w14:paraId="0DAA4E85" w14:textId="77777777" w:rsidR="00645437" w:rsidRDefault="00645437">
            <w:pPr>
              <w:rPr>
                <w:rFonts w:ascii="Calibri" w:eastAsia="Calibri" w:hAnsi="Calibri" w:cs="Calibri"/>
                <w:sz w:val="20"/>
                <w:szCs w:val="20"/>
              </w:rPr>
            </w:pPr>
          </w:p>
          <w:p w14:paraId="0DAA4E86" w14:textId="77777777" w:rsidR="00645437" w:rsidRDefault="00645437">
            <w:pPr>
              <w:rPr>
                <w:rFonts w:ascii="Calibri" w:eastAsia="Calibri" w:hAnsi="Calibri" w:cs="Calibri"/>
                <w:sz w:val="20"/>
                <w:szCs w:val="20"/>
              </w:rPr>
            </w:pPr>
          </w:p>
          <w:p w14:paraId="0DAA4E87" w14:textId="77777777" w:rsidR="00645437" w:rsidRDefault="00645437">
            <w:pPr>
              <w:rPr>
                <w:rFonts w:ascii="Calibri" w:eastAsia="Calibri" w:hAnsi="Calibri" w:cs="Calibri"/>
                <w:sz w:val="20"/>
                <w:szCs w:val="20"/>
              </w:rPr>
            </w:pPr>
          </w:p>
          <w:p w14:paraId="0DAA4E88" w14:textId="77777777" w:rsidR="00645437" w:rsidRDefault="00645437">
            <w:pPr>
              <w:rPr>
                <w:rFonts w:ascii="Calibri" w:eastAsia="Calibri" w:hAnsi="Calibri" w:cs="Calibri"/>
                <w:sz w:val="20"/>
                <w:szCs w:val="20"/>
              </w:rPr>
            </w:pPr>
          </w:p>
          <w:p w14:paraId="0DAA4E89" w14:textId="77777777" w:rsidR="00645437" w:rsidRDefault="00645437">
            <w:pPr>
              <w:rPr>
                <w:rFonts w:ascii="Calibri" w:eastAsia="Calibri" w:hAnsi="Calibri" w:cs="Calibri"/>
                <w:sz w:val="20"/>
                <w:szCs w:val="20"/>
              </w:rPr>
            </w:pPr>
          </w:p>
          <w:p w14:paraId="0DAA4E8A" w14:textId="77777777" w:rsidR="00645437" w:rsidRDefault="00645437">
            <w:pPr>
              <w:rPr>
                <w:rFonts w:ascii="Calibri" w:eastAsia="Calibri" w:hAnsi="Calibri" w:cs="Calibri"/>
                <w:sz w:val="20"/>
                <w:szCs w:val="20"/>
              </w:rPr>
            </w:pPr>
          </w:p>
          <w:p w14:paraId="0DAA4E8B" w14:textId="77777777" w:rsidR="00645437" w:rsidRDefault="00F16D00">
            <w:pPr>
              <w:rPr>
                <w:rFonts w:ascii="Calibri" w:eastAsia="Calibri" w:hAnsi="Calibri" w:cs="Calibri"/>
                <w:sz w:val="20"/>
                <w:szCs w:val="20"/>
              </w:rPr>
            </w:pPr>
            <w:r>
              <w:rPr>
                <w:rFonts w:ascii="Calibri" w:eastAsia="Calibri" w:hAnsi="Calibri" w:cs="Calibri"/>
                <w:sz w:val="20"/>
                <w:szCs w:val="20"/>
              </w:rPr>
              <w:t>Emphasize that the victim receives these services at no cost, per best practice as recommended through the victim assistance community. Discuss if concerns are raised.</w:t>
            </w:r>
          </w:p>
          <w:p w14:paraId="0DAA4E8C" w14:textId="77777777" w:rsidR="00645437" w:rsidRDefault="00645437">
            <w:pPr>
              <w:rPr>
                <w:rFonts w:ascii="Calibri" w:eastAsia="Calibri" w:hAnsi="Calibri" w:cs="Calibri"/>
                <w:sz w:val="20"/>
                <w:szCs w:val="20"/>
              </w:rPr>
            </w:pPr>
          </w:p>
          <w:p w14:paraId="0DAA4E8D" w14:textId="2BE982CB" w:rsidR="00645437" w:rsidRDefault="00662730">
            <w:pPr>
              <w:rPr>
                <w:rFonts w:ascii="Calibri" w:eastAsia="Calibri" w:hAnsi="Calibri" w:cs="Calibri"/>
                <w:sz w:val="20"/>
                <w:szCs w:val="20"/>
              </w:rPr>
            </w:pPr>
            <w:r w:rsidRPr="00662730">
              <w:rPr>
                <w:rFonts w:ascii="Calibri" w:eastAsia="Calibri" w:hAnsi="Calibri" w:cs="Calibri"/>
                <w:sz w:val="20"/>
                <w:szCs w:val="20"/>
              </w:rPr>
              <w:t xml:space="preserve">Refer to </w:t>
            </w:r>
            <w:r w:rsidR="001B2478">
              <w:rPr>
                <w:rFonts w:ascii="Calibri" w:eastAsia="Calibri" w:hAnsi="Calibri" w:cs="Calibri"/>
                <w:sz w:val="20"/>
                <w:szCs w:val="20"/>
              </w:rPr>
              <w:t xml:space="preserve">“National Protocol for Sexual Assault Medical Forensic Examinations </w:t>
            </w:r>
            <w:r w:rsidR="00020A16">
              <w:rPr>
                <w:rFonts w:ascii="Calibri" w:eastAsia="Calibri" w:hAnsi="Calibri" w:cs="Calibri"/>
                <w:sz w:val="20"/>
                <w:szCs w:val="20"/>
              </w:rPr>
              <w:t xml:space="preserve">Adults Adolescents” </w:t>
            </w:r>
            <w:r w:rsidRPr="00662730">
              <w:rPr>
                <w:rFonts w:ascii="Calibri" w:eastAsia="Calibri" w:hAnsi="Calibri" w:cs="Calibri"/>
                <w:sz w:val="20"/>
                <w:szCs w:val="20"/>
              </w:rPr>
              <w:t>attachment</w:t>
            </w:r>
            <w:r>
              <w:rPr>
                <w:rFonts w:ascii="Calibri" w:eastAsia="Calibri" w:hAnsi="Calibri" w:cs="Calibri"/>
                <w:sz w:val="20"/>
                <w:szCs w:val="20"/>
              </w:rPr>
              <w:t>.</w:t>
            </w:r>
          </w:p>
          <w:p w14:paraId="0DAA4E8E" w14:textId="77777777" w:rsidR="00645437" w:rsidRDefault="00645437">
            <w:pPr>
              <w:rPr>
                <w:rFonts w:ascii="Calibri" w:eastAsia="Calibri" w:hAnsi="Calibri" w:cs="Calibri"/>
                <w:sz w:val="20"/>
                <w:szCs w:val="20"/>
              </w:rPr>
            </w:pPr>
          </w:p>
          <w:p w14:paraId="0DAA4E8F" w14:textId="77777777" w:rsidR="00645437" w:rsidRDefault="00645437">
            <w:pPr>
              <w:rPr>
                <w:rFonts w:ascii="Calibri" w:eastAsia="Calibri" w:hAnsi="Calibri" w:cs="Calibri"/>
                <w:color w:val="FF0000"/>
                <w:sz w:val="20"/>
                <w:szCs w:val="20"/>
              </w:rPr>
            </w:pPr>
          </w:p>
          <w:p w14:paraId="0DAA4E90" w14:textId="77777777" w:rsidR="00645437" w:rsidRDefault="00645437">
            <w:pPr>
              <w:rPr>
                <w:rFonts w:ascii="Calibri" w:eastAsia="Calibri" w:hAnsi="Calibri" w:cs="Calibri"/>
                <w:color w:val="FF0000"/>
                <w:sz w:val="20"/>
                <w:szCs w:val="20"/>
              </w:rPr>
            </w:pPr>
          </w:p>
          <w:p w14:paraId="0DAA4E91" w14:textId="77777777" w:rsidR="00645437" w:rsidRDefault="00645437">
            <w:pPr>
              <w:rPr>
                <w:rFonts w:ascii="Calibri" w:eastAsia="Calibri" w:hAnsi="Calibri" w:cs="Calibri"/>
                <w:color w:val="FF0000"/>
                <w:sz w:val="20"/>
                <w:szCs w:val="20"/>
              </w:rPr>
            </w:pPr>
          </w:p>
          <w:p w14:paraId="0DAA4E92" w14:textId="77777777" w:rsidR="00645437" w:rsidRDefault="00F16D00">
            <w:pPr>
              <w:rPr>
                <w:rFonts w:ascii="Calibri" w:eastAsia="Calibri" w:hAnsi="Calibri" w:cs="Calibri"/>
                <w:sz w:val="20"/>
                <w:szCs w:val="20"/>
              </w:rPr>
            </w:pPr>
            <w:r>
              <w:rPr>
                <w:rFonts w:ascii="Calibri" w:eastAsia="Calibri" w:hAnsi="Calibri" w:cs="Calibri"/>
                <w:color w:val="FF0000"/>
                <w:sz w:val="20"/>
                <w:szCs w:val="20"/>
              </w:rPr>
              <w:t>Insert agency policy regarding provision of forensic medical exams.</w:t>
            </w:r>
          </w:p>
        </w:tc>
      </w:tr>
    </w:tbl>
    <w:p w14:paraId="0DAA4E94" w14:textId="77777777" w:rsidR="00645437" w:rsidRDefault="00F16D00">
      <w:r>
        <w:br w:type="page"/>
      </w:r>
    </w:p>
    <w:tbl>
      <w:tblPr>
        <w:tblStyle w:val="a1"/>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EA1" w14:textId="77777777">
        <w:tc>
          <w:tcPr>
            <w:tcW w:w="990" w:type="dxa"/>
            <w:tcBorders>
              <w:top w:val="single" w:sz="4" w:space="0" w:color="000000"/>
              <w:left w:val="single" w:sz="4" w:space="0" w:color="000000"/>
              <w:bottom w:val="single" w:sz="4" w:space="0" w:color="000000"/>
              <w:right w:val="single" w:sz="4" w:space="0" w:color="000000"/>
            </w:tcBorders>
          </w:tcPr>
          <w:p w14:paraId="0DAA4E95"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4 min</w:t>
            </w:r>
          </w:p>
        </w:tc>
        <w:tc>
          <w:tcPr>
            <w:tcW w:w="6570" w:type="dxa"/>
            <w:tcBorders>
              <w:top w:val="single" w:sz="4" w:space="0" w:color="000000"/>
              <w:left w:val="single" w:sz="4" w:space="0" w:color="000000"/>
              <w:bottom w:val="single" w:sz="4" w:space="0" w:color="000000"/>
              <w:right w:val="single" w:sz="4" w:space="0" w:color="000000"/>
            </w:tcBorders>
          </w:tcPr>
          <w:p w14:paraId="0DAA4E9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Evidence Protocol and Forensic Exams – Access to Advocates</w:t>
            </w:r>
          </w:p>
          <w:p w14:paraId="0DAA4E9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76" wp14:editId="0DAA5077">
                  <wp:extent cx="2804160" cy="2103120"/>
                  <wp:effectExtent l="38100" t="38100" r="38100" b="38100"/>
                  <wp:docPr id="110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9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standards also require that victim advocates from rape crisis centers be made available to victims, if possible. </w:t>
            </w:r>
          </w:p>
          <w:p w14:paraId="0DAA4E99" w14:textId="77777777" w:rsidR="00645437" w:rsidRDefault="00645437">
            <w:pPr>
              <w:tabs>
                <w:tab w:val="left" w:pos="7290"/>
              </w:tabs>
              <w:spacing w:line="276" w:lineRule="auto"/>
              <w:rPr>
                <w:rFonts w:ascii="Calibri" w:eastAsia="Calibri" w:hAnsi="Calibri" w:cs="Calibri"/>
              </w:rPr>
            </w:pPr>
          </w:p>
          <w:p w14:paraId="0DAA4E9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Why do we need outside advocates? Outside advocates can be truly independent and impartial since their sole focus is on the well-being of the victim. As a result, they can develop a relationship with the victim that may allow them to provide support that the victim may otherwise be unable to access. </w:t>
            </w:r>
          </w:p>
          <w:p w14:paraId="0DAA4E9B" w14:textId="77777777" w:rsidR="00645437" w:rsidRDefault="00645437">
            <w:pPr>
              <w:tabs>
                <w:tab w:val="left" w:pos="7290"/>
              </w:tabs>
              <w:spacing w:line="276" w:lineRule="auto"/>
              <w:rPr>
                <w:rFonts w:ascii="Calibri" w:eastAsia="Calibri" w:hAnsi="Calibri" w:cs="Calibri"/>
              </w:rPr>
            </w:pPr>
          </w:p>
          <w:p w14:paraId="0DAA4E9C"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If you are unable to access a victim advocate from a Rape Crisis Center, be aware that there are agencies outside of Rape Crisis Centers that can provide victim advocates, including mental health service agencies, drug treatment agencies, and sexual health agencies.</w:t>
            </w:r>
          </w:p>
        </w:tc>
        <w:tc>
          <w:tcPr>
            <w:tcW w:w="1800" w:type="dxa"/>
            <w:tcBorders>
              <w:top w:val="single" w:sz="4" w:space="0" w:color="000000"/>
              <w:left w:val="single" w:sz="4" w:space="0" w:color="000000"/>
              <w:bottom w:val="single" w:sz="4" w:space="0" w:color="000000"/>
              <w:right w:val="single" w:sz="4" w:space="0" w:color="000000"/>
            </w:tcBorders>
          </w:tcPr>
          <w:p w14:paraId="0DAA4E9D"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78" wp14:editId="0DAA5079">
                  <wp:extent cx="438150" cy="298450"/>
                  <wp:effectExtent l="0" t="0" r="0" b="0"/>
                  <wp:docPr id="111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9E"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Evidence Protocol and Forensic Exams</w:t>
            </w:r>
          </w:p>
          <w:p w14:paraId="0DAA4E9F" w14:textId="77777777" w:rsidR="00645437" w:rsidRDefault="00645437">
            <w:pPr>
              <w:tabs>
                <w:tab w:val="left" w:pos="7290"/>
              </w:tabs>
              <w:rPr>
                <w:rFonts w:ascii="Calibri" w:eastAsia="Calibri" w:hAnsi="Calibri" w:cs="Calibri"/>
                <w:color w:val="FF0000"/>
                <w:sz w:val="20"/>
                <w:szCs w:val="20"/>
              </w:rPr>
            </w:pPr>
          </w:p>
          <w:p w14:paraId="0DAA4EA0" w14:textId="77777777" w:rsidR="00645437" w:rsidRDefault="00F16D00">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policy regarding provisions of victim advocates and procedures for investigators to access victim advocates</w:t>
            </w:r>
          </w:p>
        </w:tc>
      </w:tr>
      <w:tr w:rsidR="00645437" w14:paraId="0DAA4EA8" w14:textId="77777777">
        <w:tc>
          <w:tcPr>
            <w:tcW w:w="990" w:type="dxa"/>
            <w:tcBorders>
              <w:top w:val="single" w:sz="4" w:space="0" w:color="000000"/>
              <w:left w:val="single" w:sz="4" w:space="0" w:color="000000"/>
              <w:bottom w:val="single" w:sz="4" w:space="0" w:color="000000"/>
              <w:right w:val="single" w:sz="4" w:space="0" w:color="000000"/>
            </w:tcBorders>
          </w:tcPr>
          <w:p w14:paraId="0DAA4EA2"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A3"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Evidence Protocol and Forensic Exams – Access to Advocates</w:t>
            </w:r>
          </w:p>
          <w:p w14:paraId="0DAA4EA4"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7A" wp14:editId="0DAA507B">
                  <wp:extent cx="2804160" cy="2103120"/>
                  <wp:effectExtent l="38100" t="38100" r="38100" b="38100"/>
                  <wp:docPr id="111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A5"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lastRenderedPageBreak/>
              <w:t xml:space="preserve">The victim advocate may accompany the victim through the entire investigative process, including the interviews. This module will discuss the role of the victim advocate and how their presence can benefit the investigator in more depth later in the module. </w:t>
            </w:r>
          </w:p>
        </w:tc>
        <w:tc>
          <w:tcPr>
            <w:tcW w:w="1800" w:type="dxa"/>
            <w:tcBorders>
              <w:top w:val="single" w:sz="4" w:space="0" w:color="000000"/>
              <w:left w:val="single" w:sz="4" w:space="0" w:color="000000"/>
              <w:bottom w:val="single" w:sz="4" w:space="0" w:color="000000"/>
              <w:right w:val="single" w:sz="4" w:space="0" w:color="000000"/>
            </w:tcBorders>
          </w:tcPr>
          <w:p w14:paraId="0DAA4EA6"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7C" wp14:editId="0DAA507D">
                  <wp:extent cx="438150" cy="298450"/>
                  <wp:effectExtent l="0" t="0" r="0" b="0"/>
                  <wp:docPr id="1119"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A7"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Evidence Protocol and Forensic Exams</w:t>
            </w:r>
          </w:p>
        </w:tc>
      </w:tr>
      <w:tr w:rsidR="00645437" w14:paraId="0DAA4EB2" w14:textId="77777777">
        <w:tc>
          <w:tcPr>
            <w:tcW w:w="990" w:type="dxa"/>
            <w:tcBorders>
              <w:top w:val="single" w:sz="4" w:space="0" w:color="000000"/>
              <w:left w:val="single" w:sz="4" w:space="0" w:color="000000"/>
              <w:bottom w:val="single" w:sz="4" w:space="0" w:color="000000"/>
              <w:right w:val="single" w:sz="4" w:space="0" w:color="000000"/>
            </w:tcBorders>
          </w:tcPr>
          <w:p w14:paraId="0DAA4EA9"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AA"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Specialized Training</w:t>
            </w:r>
          </w:p>
          <w:p w14:paraId="0DAA4EAB"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7E" wp14:editId="0DAA507F">
                  <wp:extent cx="2804160" cy="2103120"/>
                  <wp:effectExtent l="38100" t="38100" r="38100" b="38100"/>
                  <wp:docPr id="111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AC"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Just as investigators receive specialized training, so do medical/mental health care practitioners. Note that the training requirement is learning how to preserve, not collect, evidence. This is because, ideally, the agency practitioners will not be performing the forensic medical exam in which the evidence is </w:t>
            </w:r>
            <w:proofErr w:type="gramStart"/>
            <w:r>
              <w:rPr>
                <w:rFonts w:ascii="Calibri" w:eastAsia="Calibri" w:hAnsi="Calibri" w:cs="Calibri"/>
              </w:rPr>
              <w:t>actually conducted</w:t>
            </w:r>
            <w:proofErr w:type="gramEnd"/>
            <w:r>
              <w:rPr>
                <w:rFonts w:ascii="Calibri" w:eastAsia="Calibri" w:hAnsi="Calibri" w:cs="Calibri"/>
              </w:rPr>
              <w:t xml:space="preserve">. </w:t>
            </w:r>
          </w:p>
          <w:p w14:paraId="0DAA4EAD" w14:textId="77777777" w:rsidR="00645437" w:rsidRDefault="00645437">
            <w:pPr>
              <w:tabs>
                <w:tab w:val="left" w:pos="7290"/>
              </w:tabs>
              <w:spacing w:line="276" w:lineRule="auto"/>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0DAA4EAE"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80" wp14:editId="0DAA5081">
                  <wp:extent cx="438150" cy="298450"/>
                  <wp:effectExtent l="0" t="0" r="0" b="0"/>
                  <wp:docPr id="1118"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AF"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Specialized Training</w:t>
            </w:r>
          </w:p>
          <w:p w14:paraId="0DAA4EB0" w14:textId="77777777" w:rsidR="00645437" w:rsidRDefault="00645437">
            <w:pPr>
              <w:tabs>
                <w:tab w:val="left" w:pos="7290"/>
              </w:tabs>
              <w:rPr>
                <w:rFonts w:ascii="Calibri" w:eastAsia="Calibri" w:hAnsi="Calibri" w:cs="Calibri"/>
                <w:sz w:val="20"/>
                <w:szCs w:val="20"/>
              </w:rPr>
            </w:pPr>
          </w:p>
          <w:p w14:paraId="0DAA4EB1" w14:textId="77777777" w:rsidR="00645437" w:rsidRDefault="00645437">
            <w:pPr>
              <w:tabs>
                <w:tab w:val="left" w:pos="7290"/>
              </w:tabs>
              <w:rPr>
                <w:rFonts w:ascii="Calibri" w:eastAsia="Calibri" w:hAnsi="Calibri" w:cs="Calibri"/>
                <w:sz w:val="20"/>
                <w:szCs w:val="20"/>
              </w:rPr>
            </w:pPr>
          </w:p>
        </w:tc>
      </w:tr>
      <w:tr w:rsidR="00645437" w14:paraId="0DAA4EB9" w14:textId="77777777">
        <w:tc>
          <w:tcPr>
            <w:tcW w:w="990" w:type="dxa"/>
            <w:tcBorders>
              <w:top w:val="single" w:sz="4" w:space="0" w:color="000000"/>
              <w:left w:val="single" w:sz="4" w:space="0" w:color="000000"/>
              <w:bottom w:val="single" w:sz="4" w:space="0" w:color="000000"/>
              <w:right w:val="single" w:sz="4" w:space="0" w:color="000000"/>
            </w:tcBorders>
          </w:tcPr>
          <w:p w14:paraId="0DAA4EB3"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B4"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Specialized Training, Cont.</w:t>
            </w:r>
          </w:p>
          <w:p w14:paraId="0DAA4EB5"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82" wp14:editId="0DAA5083">
                  <wp:extent cx="2804160" cy="2103120"/>
                  <wp:effectExtent l="38100" t="38100" r="38100" b="38100"/>
                  <wp:docPr id="11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B6"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However, </w:t>
            </w:r>
            <w:proofErr w:type="gramStart"/>
            <w:r>
              <w:rPr>
                <w:rFonts w:ascii="Calibri" w:eastAsia="Calibri" w:hAnsi="Calibri" w:cs="Calibri"/>
              </w:rPr>
              <w:t>in the event that</w:t>
            </w:r>
            <w:proofErr w:type="gramEnd"/>
            <w:r>
              <w:rPr>
                <w:rFonts w:ascii="Calibri" w:eastAsia="Calibri" w:hAnsi="Calibri" w:cs="Calibri"/>
              </w:rPr>
              <w:t xml:space="preserve"> external SANEs or SAFEs are not available to perform this task, this standard also includes </w:t>
            </w:r>
            <w:r>
              <w:rPr>
                <w:rFonts w:ascii="Calibri" w:eastAsia="Calibri" w:hAnsi="Calibri" w:cs="Calibri"/>
              </w:rPr>
              <w:lastRenderedPageBreak/>
              <w:t>specialized training for conducting forensic medical exams. Best practice is to conduct the exam outside the agency.</w:t>
            </w:r>
          </w:p>
        </w:tc>
        <w:tc>
          <w:tcPr>
            <w:tcW w:w="1800" w:type="dxa"/>
            <w:tcBorders>
              <w:top w:val="single" w:sz="4" w:space="0" w:color="000000"/>
              <w:left w:val="single" w:sz="4" w:space="0" w:color="000000"/>
              <w:bottom w:val="single" w:sz="4" w:space="0" w:color="000000"/>
              <w:right w:val="single" w:sz="4" w:space="0" w:color="000000"/>
            </w:tcBorders>
          </w:tcPr>
          <w:p w14:paraId="0DAA4EB7"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84" wp14:editId="0DAA5085">
                  <wp:extent cx="438150" cy="298450"/>
                  <wp:effectExtent l="0" t="0" r="0" b="0"/>
                  <wp:docPr id="1121"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B8"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Specialized Training, Cont.</w:t>
            </w:r>
          </w:p>
        </w:tc>
      </w:tr>
      <w:tr w:rsidR="00645437" w14:paraId="0DAA4EC4" w14:textId="77777777">
        <w:tc>
          <w:tcPr>
            <w:tcW w:w="990" w:type="dxa"/>
            <w:tcBorders>
              <w:top w:val="single" w:sz="4" w:space="0" w:color="000000"/>
              <w:left w:val="single" w:sz="4" w:space="0" w:color="000000"/>
              <w:bottom w:val="single" w:sz="4" w:space="0" w:color="000000"/>
              <w:right w:val="single" w:sz="4" w:space="0" w:color="000000"/>
            </w:tcBorders>
          </w:tcPr>
          <w:p w14:paraId="0DAA4EBA" w14:textId="77777777" w:rsidR="00645437" w:rsidRDefault="00F16D00">
            <w:pPr>
              <w:tabs>
                <w:tab w:val="left" w:pos="7290"/>
              </w:tabs>
              <w:jc w:val="center"/>
              <w:rPr>
                <w:rFonts w:ascii="Calibri" w:eastAsia="Calibri" w:hAnsi="Calibri" w:cs="Calibri"/>
                <w:b/>
              </w:rPr>
            </w:pPr>
            <w:r>
              <w:rPr>
                <w:rFonts w:ascii="Calibri" w:eastAsia="Calibri" w:hAnsi="Calibri" w:cs="Calibri"/>
                <w:b/>
              </w:rPr>
              <w:t>3 min</w:t>
            </w:r>
          </w:p>
        </w:tc>
        <w:tc>
          <w:tcPr>
            <w:tcW w:w="6570" w:type="dxa"/>
            <w:tcBorders>
              <w:top w:val="single" w:sz="4" w:space="0" w:color="000000"/>
              <w:left w:val="single" w:sz="4" w:space="0" w:color="000000"/>
              <w:bottom w:val="single" w:sz="4" w:space="0" w:color="000000"/>
              <w:right w:val="single" w:sz="4" w:space="0" w:color="000000"/>
            </w:tcBorders>
          </w:tcPr>
          <w:p w14:paraId="0DAA4EBB"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Outside Confidential Services</w:t>
            </w:r>
          </w:p>
          <w:p w14:paraId="0DAA4EBC"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86" wp14:editId="0DAA5087">
                  <wp:extent cx="2804160" cy="2103120"/>
                  <wp:effectExtent l="38100" t="38100" r="38100" b="38100"/>
                  <wp:docPr id="11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BD"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In addition to making victim advocates available to victims, the standards require outside confidential support services to be made available to all inmates/residents in a facility. </w:t>
            </w:r>
          </w:p>
        </w:tc>
        <w:tc>
          <w:tcPr>
            <w:tcW w:w="1800" w:type="dxa"/>
            <w:tcBorders>
              <w:top w:val="single" w:sz="4" w:space="0" w:color="000000"/>
              <w:left w:val="single" w:sz="4" w:space="0" w:color="000000"/>
              <w:bottom w:val="single" w:sz="4" w:space="0" w:color="000000"/>
              <w:right w:val="single" w:sz="4" w:space="0" w:color="000000"/>
            </w:tcBorders>
          </w:tcPr>
          <w:p w14:paraId="0DAA4EBE"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88" wp14:editId="0DAA5089">
                  <wp:extent cx="438150" cy="298450"/>
                  <wp:effectExtent l="0" t="0" r="0" b="0"/>
                  <wp:docPr id="1123"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BF"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Access to Outside Confidential Services</w:t>
            </w:r>
          </w:p>
          <w:p w14:paraId="0DAA4EC0" w14:textId="77777777" w:rsidR="00645437" w:rsidRDefault="00645437">
            <w:pPr>
              <w:tabs>
                <w:tab w:val="left" w:pos="7290"/>
              </w:tabs>
              <w:rPr>
                <w:rFonts w:ascii="Calibri" w:eastAsia="Calibri" w:hAnsi="Calibri" w:cs="Calibri"/>
                <w:b/>
                <w:sz w:val="20"/>
                <w:szCs w:val="20"/>
              </w:rPr>
            </w:pPr>
          </w:p>
          <w:p w14:paraId="0DAA4EC1" w14:textId="77777777" w:rsidR="00645437" w:rsidRDefault="00F16D00">
            <w:pPr>
              <w:tabs>
                <w:tab w:val="left" w:pos="7290"/>
              </w:tabs>
              <w:rPr>
                <w:rFonts w:ascii="Calibri" w:eastAsia="Calibri" w:hAnsi="Calibri" w:cs="Calibri"/>
                <w:b/>
                <w:sz w:val="20"/>
                <w:szCs w:val="20"/>
              </w:rPr>
            </w:pPr>
            <w:r>
              <w:rPr>
                <w:rFonts w:ascii="Calibri" w:eastAsia="Calibri" w:hAnsi="Calibri" w:cs="Calibri"/>
                <w:color w:val="FF0000"/>
                <w:sz w:val="20"/>
                <w:szCs w:val="20"/>
              </w:rPr>
              <w:t>Insert agency procedures to make access to outside confidential services available to inmates</w:t>
            </w:r>
          </w:p>
          <w:p w14:paraId="0DAA4EC2" w14:textId="77777777" w:rsidR="00645437" w:rsidRDefault="00645437">
            <w:pPr>
              <w:tabs>
                <w:tab w:val="left" w:pos="7290"/>
              </w:tabs>
              <w:rPr>
                <w:rFonts w:ascii="Calibri" w:eastAsia="Calibri" w:hAnsi="Calibri" w:cs="Calibri"/>
                <w:sz w:val="20"/>
                <w:szCs w:val="20"/>
              </w:rPr>
            </w:pPr>
          </w:p>
          <w:p w14:paraId="0DAA4EC3" w14:textId="77777777" w:rsidR="00645437" w:rsidRDefault="00645437">
            <w:pPr>
              <w:tabs>
                <w:tab w:val="left" w:pos="7290"/>
              </w:tabs>
              <w:rPr>
                <w:rFonts w:ascii="Calibri" w:eastAsia="Calibri" w:hAnsi="Calibri" w:cs="Calibri"/>
                <w:sz w:val="20"/>
                <w:szCs w:val="20"/>
              </w:rPr>
            </w:pPr>
          </w:p>
        </w:tc>
      </w:tr>
      <w:tr w:rsidR="00645437" w14:paraId="0DAA4ECB" w14:textId="77777777">
        <w:tc>
          <w:tcPr>
            <w:tcW w:w="990" w:type="dxa"/>
            <w:tcBorders>
              <w:top w:val="single" w:sz="4" w:space="0" w:color="000000"/>
              <w:left w:val="single" w:sz="4" w:space="0" w:color="000000"/>
              <w:bottom w:val="single" w:sz="4" w:space="0" w:color="000000"/>
              <w:right w:val="single" w:sz="4" w:space="0" w:color="000000"/>
            </w:tcBorders>
          </w:tcPr>
          <w:p w14:paraId="0DAA4EC5"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C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 xml:space="preserve">Access to Outside </w:t>
            </w:r>
            <w:r>
              <w:rPr>
                <w:rFonts w:ascii="Calibri" w:eastAsia="Calibri" w:hAnsi="Calibri" w:cs="Calibri"/>
                <w:b/>
              </w:rPr>
              <w:br/>
              <w:t>Confidential Services</w:t>
            </w:r>
            <w:r>
              <w:rPr>
                <w:rFonts w:ascii="Calibri" w:eastAsia="Calibri" w:hAnsi="Calibri" w:cs="Calibri"/>
              </w:rPr>
              <w:t xml:space="preserve"> </w:t>
            </w:r>
            <w:r>
              <w:rPr>
                <w:rFonts w:ascii="Calibri" w:eastAsia="Calibri" w:hAnsi="Calibri" w:cs="Calibri"/>
                <w:b/>
              </w:rPr>
              <w:t>– Agreements</w:t>
            </w:r>
          </w:p>
          <w:p w14:paraId="0DAA4EC7"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08A" wp14:editId="0DAA508B">
                  <wp:extent cx="2804160" cy="2103120"/>
                  <wp:effectExtent l="38100" t="38100" r="38100" b="38100"/>
                  <wp:docPr id="11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C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If an agency is unable to </w:t>
            </w:r>
            <w:proofErr w:type="gramStart"/>
            <w:r>
              <w:rPr>
                <w:rFonts w:ascii="Calibri" w:eastAsia="Calibri" w:hAnsi="Calibri" w:cs="Calibri"/>
              </w:rPr>
              <w:t>enter into</w:t>
            </w:r>
            <w:proofErr w:type="gramEnd"/>
            <w:r>
              <w:rPr>
                <w:rFonts w:ascii="Calibri" w:eastAsia="Calibri" w:hAnsi="Calibri" w:cs="Calibri"/>
              </w:rPr>
              <w:t xml:space="preserve"> an MOU with an agency to provide confidential support services, they have to demonstrate the attempt to do so.</w:t>
            </w:r>
          </w:p>
        </w:tc>
        <w:tc>
          <w:tcPr>
            <w:tcW w:w="1800" w:type="dxa"/>
            <w:tcBorders>
              <w:top w:val="single" w:sz="4" w:space="0" w:color="000000"/>
              <w:left w:val="single" w:sz="4" w:space="0" w:color="000000"/>
              <w:bottom w:val="single" w:sz="4" w:space="0" w:color="000000"/>
              <w:right w:val="single" w:sz="4" w:space="0" w:color="000000"/>
            </w:tcBorders>
          </w:tcPr>
          <w:p w14:paraId="0DAA4EC9"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8C" wp14:editId="0DAA508D">
                  <wp:extent cx="438150" cy="298450"/>
                  <wp:effectExtent l="0" t="0" r="0" b="0"/>
                  <wp:docPr id="1125"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CA"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 xml:space="preserve">Access to Outside </w:t>
            </w:r>
            <w:r>
              <w:rPr>
                <w:rFonts w:ascii="Calibri" w:eastAsia="Calibri" w:hAnsi="Calibri" w:cs="Calibri"/>
                <w:b/>
                <w:sz w:val="20"/>
                <w:szCs w:val="20"/>
              </w:rPr>
              <w:br/>
              <w:t>Confidential Services</w:t>
            </w:r>
          </w:p>
        </w:tc>
      </w:tr>
    </w:tbl>
    <w:p w14:paraId="0DAA4ECC" w14:textId="77777777" w:rsidR="00645437" w:rsidRDefault="00F16D00">
      <w:r>
        <w:br w:type="page"/>
      </w:r>
    </w:p>
    <w:tbl>
      <w:tblPr>
        <w:tblStyle w:val="a2"/>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ED6" w14:textId="77777777">
        <w:tc>
          <w:tcPr>
            <w:tcW w:w="990" w:type="dxa"/>
            <w:tcBorders>
              <w:top w:val="single" w:sz="4" w:space="0" w:color="000000"/>
              <w:left w:val="single" w:sz="4" w:space="0" w:color="000000"/>
              <w:bottom w:val="single" w:sz="4" w:space="0" w:color="000000"/>
              <w:right w:val="single" w:sz="4" w:space="0" w:color="000000"/>
            </w:tcBorders>
          </w:tcPr>
          <w:p w14:paraId="0DAA4ECD"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5 min</w:t>
            </w:r>
          </w:p>
        </w:tc>
        <w:tc>
          <w:tcPr>
            <w:tcW w:w="6570" w:type="dxa"/>
            <w:tcBorders>
              <w:top w:val="single" w:sz="4" w:space="0" w:color="000000"/>
              <w:left w:val="single" w:sz="4" w:space="0" w:color="000000"/>
              <w:bottom w:val="single" w:sz="4" w:space="0" w:color="000000"/>
              <w:right w:val="single" w:sz="4" w:space="0" w:color="000000"/>
            </w:tcBorders>
          </w:tcPr>
          <w:p w14:paraId="0DAA4EC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Coordinated Response</w:t>
            </w:r>
          </w:p>
          <w:p w14:paraId="0DAA4EC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8E" wp14:editId="0DAA508F">
                  <wp:extent cx="2804160" cy="2103120"/>
                  <wp:effectExtent l="38100" t="38100" r="38100" b="38100"/>
                  <wp:docPr id="112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D0"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Facilities must ensure that a coordinated response procedure has been developed, which clearly defines the responsibilities of first responders, medical and mental health staff, investigators and administrators. Often, this may take the form of a SART (Sexual Assault Response Team). </w:t>
            </w:r>
          </w:p>
        </w:tc>
        <w:tc>
          <w:tcPr>
            <w:tcW w:w="1800" w:type="dxa"/>
            <w:tcBorders>
              <w:top w:val="single" w:sz="4" w:space="0" w:color="000000"/>
              <w:left w:val="single" w:sz="4" w:space="0" w:color="000000"/>
              <w:bottom w:val="single" w:sz="4" w:space="0" w:color="000000"/>
              <w:right w:val="single" w:sz="4" w:space="0" w:color="000000"/>
            </w:tcBorders>
          </w:tcPr>
          <w:p w14:paraId="0DAA4ED1"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90" wp14:editId="0DAA5091">
                  <wp:extent cx="438150" cy="298450"/>
                  <wp:effectExtent l="0" t="0" r="0" b="0"/>
                  <wp:docPr id="1127"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D2"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Coordinated Response</w:t>
            </w:r>
          </w:p>
          <w:p w14:paraId="0DAA4ED3" w14:textId="77777777" w:rsidR="00645437" w:rsidRDefault="00645437">
            <w:pPr>
              <w:tabs>
                <w:tab w:val="left" w:pos="7290"/>
              </w:tabs>
              <w:rPr>
                <w:rFonts w:ascii="Calibri" w:eastAsia="Calibri" w:hAnsi="Calibri" w:cs="Calibri"/>
                <w:b/>
                <w:sz w:val="20"/>
                <w:szCs w:val="20"/>
              </w:rPr>
            </w:pPr>
          </w:p>
          <w:p w14:paraId="0DAA4ED4" w14:textId="0FFFC0DF" w:rsidR="00645437" w:rsidRDefault="00F16D00">
            <w:pPr>
              <w:tabs>
                <w:tab w:val="left" w:pos="7290"/>
              </w:tabs>
              <w:rPr>
                <w:rFonts w:ascii="Calibri" w:eastAsia="Calibri" w:hAnsi="Calibri" w:cs="Calibri"/>
                <w:b/>
                <w:sz w:val="20"/>
                <w:szCs w:val="20"/>
              </w:rPr>
            </w:pPr>
            <w:r>
              <w:rPr>
                <w:rFonts w:ascii="Calibri" w:eastAsia="Calibri" w:hAnsi="Calibri" w:cs="Calibri"/>
                <w:color w:val="FF0000"/>
                <w:sz w:val="20"/>
                <w:szCs w:val="20"/>
              </w:rPr>
              <w:t>Insert agency policy regarding sexual assault response team members and responsibilities</w:t>
            </w:r>
            <w:r w:rsidR="00325394">
              <w:rPr>
                <w:rFonts w:ascii="Calibri" w:eastAsia="Calibri" w:hAnsi="Calibri" w:cs="Calibri"/>
                <w:color w:val="FF0000"/>
                <w:sz w:val="20"/>
                <w:szCs w:val="20"/>
              </w:rPr>
              <w:t>.</w:t>
            </w:r>
          </w:p>
          <w:p w14:paraId="0DAA4ED5" w14:textId="77777777" w:rsidR="00645437" w:rsidRDefault="00645437">
            <w:pPr>
              <w:tabs>
                <w:tab w:val="left" w:pos="7290"/>
              </w:tabs>
              <w:rPr>
                <w:rFonts w:ascii="Calibri" w:eastAsia="Calibri" w:hAnsi="Calibri" w:cs="Calibri"/>
                <w:sz w:val="20"/>
                <w:szCs w:val="20"/>
              </w:rPr>
            </w:pPr>
          </w:p>
        </w:tc>
      </w:tr>
      <w:tr w:rsidR="00645437" w14:paraId="0DAA4EDC" w14:textId="77777777">
        <w:tc>
          <w:tcPr>
            <w:tcW w:w="990" w:type="dxa"/>
            <w:tcBorders>
              <w:top w:val="single" w:sz="4" w:space="0" w:color="000000"/>
              <w:left w:val="single" w:sz="4" w:space="0" w:color="000000"/>
              <w:bottom w:val="single" w:sz="4" w:space="0" w:color="000000"/>
              <w:right w:val="single" w:sz="4" w:space="0" w:color="000000"/>
            </w:tcBorders>
          </w:tcPr>
          <w:p w14:paraId="0DAA4ED7"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D8"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Emergency Medical and Mental Health Care</w:t>
            </w:r>
          </w:p>
          <w:p w14:paraId="0DAA4ED9"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92" wp14:editId="0DAA5093">
                  <wp:extent cx="2807208" cy="2103120"/>
                  <wp:effectExtent l="38100" t="38100" r="38100" b="38100"/>
                  <wp:docPr id="109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ED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In particular, the first responder must ensure that these interventions are provided to victims. However, for investigators to know the services offered to victims following a report is important. Appropriate delivery of services will build trust between the victim and the agency, which may lead to more reporting and greater honesty in interviews. Similarly, informative answers to victim’s questions regarding emergency care will aid in relationship-building.</w:t>
            </w:r>
          </w:p>
        </w:tc>
        <w:tc>
          <w:tcPr>
            <w:tcW w:w="1800" w:type="dxa"/>
            <w:tcBorders>
              <w:top w:val="single" w:sz="4" w:space="0" w:color="000000"/>
              <w:left w:val="single" w:sz="4" w:space="0" w:color="000000"/>
              <w:bottom w:val="single" w:sz="4" w:space="0" w:color="000000"/>
              <w:right w:val="single" w:sz="4" w:space="0" w:color="000000"/>
            </w:tcBorders>
          </w:tcPr>
          <w:p w14:paraId="0DAA4EDB"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94" wp14:editId="0DAA5095">
                  <wp:extent cx="438150" cy="298450"/>
                  <wp:effectExtent l="0" t="0" r="0" b="0"/>
                  <wp:docPr id="109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tc>
      </w:tr>
    </w:tbl>
    <w:p w14:paraId="0DAA4EDD" w14:textId="77777777" w:rsidR="00645437" w:rsidRDefault="00F16D00">
      <w:r>
        <w:br w:type="page"/>
      </w:r>
    </w:p>
    <w:tbl>
      <w:tblPr>
        <w:tblStyle w:val="a3"/>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EE6" w14:textId="77777777">
        <w:tc>
          <w:tcPr>
            <w:tcW w:w="990" w:type="dxa"/>
            <w:tcBorders>
              <w:top w:val="single" w:sz="4" w:space="0" w:color="000000"/>
              <w:left w:val="single" w:sz="4" w:space="0" w:color="000000"/>
              <w:bottom w:val="single" w:sz="4" w:space="0" w:color="000000"/>
              <w:right w:val="single" w:sz="4" w:space="0" w:color="000000"/>
            </w:tcBorders>
          </w:tcPr>
          <w:p w14:paraId="0DAA4EDE"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4 min</w:t>
            </w:r>
          </w:p>
        </w:tc>
        <w:tc>
          <w:tcPr>
            <w:tcW w:w="6570" w:type="dxa"/>
            <w:tcBorders>
              <w:top w:val="single" w:sz="4" w:space="0" w:color="000000"/>
              <w:left w:val="single" w:sz="4" w:space="0" w:color="000000"/>
              <w:bottom w:val="single" w:sz="4" w:space="0" w:color="000000"/>
              <w:right w:val="single" w:sz="4" w:space="0" w:color="000000"/>
            </w:tcBorders>
          </w:tcPr>
          <w:p w14:paraId="0DAA4ED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Emergency Medical and Mental Health Care</w:t>
            </w:r>
          </w:p>
          <w:p w14:paraId="0DAA4EE0"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96" wp14:editId="0DAA5097">
                  <wp:extent cx="2804160" cy="2103120"/>
                  <wp:effectExtent l="38100" t="38100" r="38100" b="38100"/>
                  <wp:docPr id="10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E1"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standards require agencies to offer victims timely access to necessary medical services, including emergency contraception and sexually transmitted infections prophylaxis at no cost and regardless of whether the victim cooperates with the investigation or names his/her abuser. The timely element of this is crucial, especially for prophylaxis and other treatments that only work for a certain </w:t>
            </w:r>
            <w:proofErr w:type="gramStart"/>
            <w:r>
              <w:rPr>
                <w:rFonts w:ascii="Calibri" w:eastAsia="Calibri" w:hAnsi="Calibri" w:cs="Calibri"/>
              </w:rPr>
              <w:t>period of time</w:t>
            </w:r>
            <w:proofErr w:type="gramEnd"/>
            <w:r>
              <w:rPr>
                <w:rFonts w:ascii="Calibri" w:eastAsia="Calibri" w:hAnsi="Calibri" w:cs="Calibri"/>
              </w:rPr>
              <w:t>.</w:t>
            </w:r>
          </w:p>
        </w:tc>
        <w:tc>
          <w:tcPr>
            <w:tcW w:w="1800" w:type="dxa"/>
            <w:tcBorders>
              <w:top w:val="single" w:sz="4" w:space="0" w:color="000000"/>
              <w:left w:val="single" w:sz="4" w:space="0" w:color="000000"/>
              <w:bottom w:val="single" w:sz="4" w:space="0" w:color="000000"/>
              <w:right w:val="single" w:sz="4" w:space="0" w:color="000000"/>
            </w:tcBorders>
          </w:tcPr>
          <w:p w14:paraId="0DAA4EE2"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98" wp14:editId="0DAA5099">
                  <wp:extent cx="438150" cy="298450"/>
                  <wp:effectExtent l="0" t="0" r="0" b="0"/>
                  <wp:docPr id="1096"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E3"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Access to Emergency Medical and Mental Health Care</w:t>
            </w:r>
          </w:p>
          <w:p w14:paraId="0DAA4EE4" w14:textId="77777777" w:rsidR="00645437" w:rsidRDefault="00645437">
            <w:pPr>
              <w:tabs>
                <w:tab w:val="left" w:pos="7290"/>
              </w:tabs>
              <w:rPr>
                <w:rFonts w:ascii="Calibri" w:eastAsia="Calibri" w:hAnsi="Calibri" w:cs="Calibri"/>
                <w:sz w:val="20"/>
                <w:szCs w:val="20"/>
              </w:rPr>
            </w:pPr>
          </w:p>
          <w:p w14:paraId="0DAA4EE5" w14:textId="6196F02B" w:rsidR="00645437" w:rsidRDefault="00F16D00">
            <w:pPr>
              <w:tabs>
                <w:tab w:val="left" w:pos="7290"/>
              </w:tabs>
              <w:rPr>
                <w:rFonts w:ascii="Calibri" w:eastAsia="Calibri" w:hAnsi="Calibri" w:cs="Calibri"/>
                <w:sz w:val="20"/>
                <w:szCs w:val="20"/>
              </w:rPr>
            </w:pPr>
            <w:r>
              <w:rPr>
                <w:rFonts w:ascii="Calibri" w:eastAsia="Calibri" w:hAnsi="Calibri" w:cs="Calibri"/>
                <w:color w:val="FF0000"/>
                <w:sz w:val="20"/>
                <w:szCs w:val="20"/>
              </w:rPr>
              <w:t>Insert agency policy regarding emergency medical services</w:t>
            </w:r>
            <w:r w:rsidR="00325394">
              <w:rPr>
                <w:rFonts w:ascii="Calibri" w:eastAsia="Calibri" w:hAnsi="Calibri" w:cs="Calibri"/>
                <w:color w:val="FF0000"/>
                <w:sz w:val="20"/>
                <w:szCs w:val="20"/>
              </w:rPr>
              <w:t>.</w:t>
            </w:r>
          </w:p>
        </w:tc>
      </w:tr>
      <w:tr w:rsidR="00645437" w14:paraId="0DAA4EEE" w14:textId="77777777">
        <w:tc>
          <w:tcPr>
            <w:tcW w:w="990" w:type="dxa"/>
            <w:tcBorders>
              <w:top w:val="single" w:sz="4" w:space="0" w:color="000000"/>
              <w:left w:val="single" w:sz="4" w:space="0" w:color="000000"/>
              <w:bottom w:val="single" w:sz="4" w:space="0" w:color="000000"/>
              <w:right w:val="single" w:sz="4" w:space="0" w:color="000000"/>
            </w:tcBorders>
          </w:tcPr>
          <w:p w14:paraId="0DAA4EE7"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E8"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Ongoing Medical and Mental Health Care</w:t>
            </w:r>
          </w:p>
          <w:p w14:paraId="0DAA4EE9"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9A" wp14:editId="0DAA509B">
                  <wp:extent cx="2804160" cy="2103120"/>
                  <wp:effectExtent l="38100" t="38100" r="38100" b="38100"/>
                  <wp:docPr id="109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E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standards also require agencies to provide ongoing care and referrals, if necessary. </w:t>
            </w:r>
          </w:p>
        </w:tc>
        <w:tc>
          <w:tcPr>
            <w:tcW w:w="1800" w:type="dxa"/>
            <w:tcBorders>
              <w:top w:val="single" w:sz="4" w:space="0" w:color="000000"/>
              <w:left w:val="single" w:sz="4" w:space="0" w:color="000000"/>
              <w:bottom w:val="single" w:sz="4" w:space="0" w:color="000000"/>
              <w:right w:val="single" w:sz="4" w:space="0" w:color="000000"/>
            </w:tcBorders>
          </w:tcPr>
          <w:p w14:paraId="0DAA4EEB"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9C" wp14:editId="0DAA509D">
                  <wp:extent cx="438150" cy="298450"/>
                  <wp:effectExtent l="0" t="0" r="0" b="0"/>
                  <wp:docPr id="1098"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EC"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Access to Ongoing Medical and Mental Health Care</w:t>
            </w:r>
          </w:p>
          <w:p w14:paraId="0DAA4EED" w14:textId="77777777" w:rsidR="00645437" w:rsidRDefault="00645437">
            <w:pPr>
              <w:tabs>
                <w:tab w:val="left" w:pos="7290"/>
              </w:tabs>
              <w:rPr>
                <w:rFonts w:ascii="Calibri" w:eastAsia="Calibri" w:hAnsi="Calibri" w:cs="Calibri"/>
                <w:sz w:val="20"/>
                <w:szCs w:val="20"/>
              </w:rPr>
            </w:pPr>
          </w:p>
        </w:tc>
      </w:tr>
    </w:tbl>
    <w:p w14:paraId="0DAA4EEF" w14:textId="77777777" w:rsidR="00645437" w:rsidRDefault="00F16D00">
      <w:r>
        <w:br w:type="page"/>
      </w:r>
    </w:p>
    <w:tbl>
      <w:tblPr>
        <w:tblStyle w:val="a4"/>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EF7" w14:textId="77777777">
        <w:tc>
          <w:tcPr>
            <w:tcW w:w="990" w:type="dxa"/>
            <w:tcBorders>
              <w:top w:val="single" w:sz="4" w:space="0" w:color="000000"/>
              <w:left w:val="single" w:sz="4" w:space="0" w:color="000000"/>
              <w:bottom w:val="single" w:sz="4" w:space="0" w:color="000000"/>
              <w:right w:val="single" w:sz="4" w:space="0" w:color="000000"/>
            </w:tcBorders>
          </w:tcPr>
          <w:p w14:paraId="0DAA4EF0"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4EF1"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Ongoing Medical and Mental Health Care, Cont.</w:t>
            </w:r>
          </w:p>
          <w:p w14:paraId="0DAA4EF2"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9E" wp14:editId="0DAA509F">
                  <wp:extent cx="2804160" cy="2103120"/>
                  <wp:effectExtent l="38100" t="38100" r="38100" b="38100"/>
                  <wp:docPr id="109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F3"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Ensuring that victims receive timely access to appropriate healthcare can be extremely important in the context of sexually transmitted infections and pregnancy. </w:t>
            </w:r>
          </w:p>
        </w:tc>
        <w:tc>
          <w:tcPr>
            <w:tcW w:w="1800" w:type="dxa"/>
            <w:tcBorders>
              <w:top w:val="single" w:sz="4" w:space="0" w:color="000000"/>
              <w:left w:val="single" w:sz="4" w:space="0" w:color="000000"/>
              <w:bottom w:val="single" w:sz="4" w:space="0" w:color="000000"/>
              <w:right w:val="single" w:sz="4" w:space="0" w:color="000000"/>
            </w:tcBorders>
          </w:tcPr>
          <w:p w14:paraId="0DAA4EF4"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A0" wp14:editId="0DAA50A1">
                  <wp:extent cx="438150" cy="298450"/>
                  <wp:effectExtent l="0" t="0" r="0" b="0"/>
                  <wp:docPr id="110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EF5"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Access to Ongoing Medical and Mental Health Care, Cont.</w:t>
            </w:r>
          </w:p>
          <w:p w14:paraId="0DAA4EF6" w14:textId="77777777" w:rsidR="00645437" w:rsidRDefault="00645437">
            <w:pPr>
              <w:tabs>
                <w:tab w:val="left" w:pos="7290"/>
              </w:tabs>
              <w:rPr>
                <w:rFonts w:ascii="Calibri" w:eastAsia="Calibri" w:hAnsi="Calibri" w:cs="Calibri"/>
                <w:sz w:val="20"/>
                <w:szCs w:val="20"/>
              </w:rPr>
            </w:pPr>
          </w:p>
        </w:tc>
      </w:tr>
      <w:tr w:rsidR="00645437" w14:paraId="0DAA4EFE" w14:textId="77777777">
        <w:tc>
          <w:tcPr>
            <w:tcW w:w="990" w:type="dxa"/>
            <w:tcBorders>
              <w:top w:val="single" w:sz="4" w:space="0" w:color="000000"/>
              <w:left w:val="single" w:sz="4" w:space="0" w:color="000000"/>
              <w:bottom w:val="single" w:sz="4" w:space="0" w:color="000000"/>
              <w:right w:val="single" w:sz="4" w:space="0" w:color="000000"/>
            </w:tcBorders>
          </w:tcPr>
          <w:p w14:paraId="0DAA4EF8"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EF9"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Ongoing Medical and Mental Health Care, Cont.</w:t>
            </w:r>
          </w:p>
          <w:p w14:paraId="0DAA4EFA"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A2" wp14:editId="0DAA50A3">
                  <wp:extent cx="2804160" cy="2103120"/>
                  <wp:effectExtent l="38100" t="38100" r="38100" b="38100"/>
                  <wp:docPr id="1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EFB"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In the case of prisons and juvenile facilities, this ongoing care also includes some requirements for providing mental health treatment for abusers. Since the investigator will have contact with the victim and the perpetrator (if identified), the investigator should be sure to make the appropriate notifications to the persons within the agency who are responsible for medical and mental health interventions for both parties.</w:t>
            </w:r>
          </w:p>
        </w:tc>
        <w:tc>
          <w:tcPr>
            <w:tcW w:w="1800" w:type="dxa"/>
            <w:tcBorders>
              <w:top w:val="single" w:sz="4" w:space="0" w:color="000000"/>
              <w:left w:val="single" w:sz="4" w:space="0" w:color="000000"/>
              <w:bottom w:val="single" w:sz="4" w:space="0" w:color="000000"/>
              <w:right w:val="single" w:sz="4" w:space="0" w:color="000000"/>
            </w:tcBorders>
          </w:tcPr>
          <w:p w14:paraId="0DAA4EFC" w14:textId="77777777" w:rsidR="00645437" w:rsidRDefault="00F16D00">
            <w:pPr>
              <w:tabs>
                <w:tab w:val="left" w:pos="7290"/>
              </w:tabs>
              <w:rPr>
                <w:rFonts w:ascii="Calibri" w:eastAsia="Calibri" w:hAnsi="Calibri" w:cs="Calibri"/>
                <w:b/>
                <w:sz w:val="20"/>
                <w:szCs w:val="20"/>
              </w:rPr>
            </w:pPr>
            <w:r>
              <w:rPr>
                <w:rFonts w:ascii="Calibri" w:eastAsia="Calibri" w:hAnsi="Calibri" w:cs="Calibri"/>
                <w:noProof/>
                <w:sz w:val="20"/>
                <w:szCs w:val="20"/>
              </w:rPr>
              <w:drawing>
                <wp:inline distT="0" distB="0" distL="0" distR="0" wp14:anchorId="0DAA50A4" wp14:editId="0DAA50A5">
                  <wp:extent cx="438150" cy="298450"/>
                  <wp:effectExtent l="0" t="0" r="0" b="0"/>
                  <wp:docPr id="1102"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b/>
                <w:sz w:val="20"/>
                <w:szCs w:val="20"/>
              </w:rPr>
              <w:t>Access to Ongoing Medical and Mental Health Care, Cont.</w:t>
            </w:r>
          </w:p>
          <w:p w14:paraId="0DAA4EFD" w14:textId="77777777" w:rsidR="00645437" w:rsidRDefault="00645437">
            <w:pPr>
              <w:tabs>
                <w:tab w:val="left" w:pos="7290"/>
              </w:tabs>
              <w:rPr>
                <w:rFonts w:ascii="Calibri" w:eastAsia="Calibri" w:hAnsi="Calibri" w:cs="Calibri"/>
                <w:sz w:val="20"/>
                <w:szCs w:val="20"/>
              </w:rPr>
            </w:pPr>
          </w:p>
        </w:tc>
      </w:tr>
    </w:tbl>
    <w:p w14:paraId="0DAA4EFF" w14:textId="77777777" w:rsidR="00645437" w:rsidRDefault="00F16D00">
      <w:r>
        <w:br w:type="page"/>
      </w:r>
    </w:p>
    <w:tbl>
      <w:tblPr>
        <w:tblStyle w:val="a5"/>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F0B" w14:textId="77777777">
        <w:tc>
          <w:tcPr>
            <w:tcW w:w="990" w:type="dxa"/>
            <w:tcBorders>
              <w:top w:val="single" w:sz="4" w:space="0" w:color="000000"/>
              <w:left w:val="single" w:sz="4" w:space="0" w:color="000000"/>
              <w:bottom w:val="single" w:sz="4" w:space="0" w:color="000000"/>
              <w:right w:val="single" w:sz="4" w:space="0" w:color="000000"/>
            </w:tcBorders>
          </w:tcPr>
          <w:p w14:paraId="0DAA4F00"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4F01"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Interpreting the Medical and Mental Health Standards</w:t>
            </w:r>
          </w:p>
          <w:p w14:paraId="0DAA4F02"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A6" wp14:editId="0DAA50A7">
                  <wp:extent cx="2804160" cy="2103120"/>
                  <wp:effectExtent l="38100" t="38100" r="38100" b="38100"/>
                  <wp:docPr id="1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03"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Corrections must offer victims of sexual abuse:</w:t>
            </w:r>
          </w:p>
          <w:p w14:paraId="0DAA4F04" w14:textId="77777777" w:rsidR="00645437" w:rsidRDefault="00F16D00">
            <w:pPr>
              <w:numPr>
                <w:ilvl w:val="0"/>
                <w:numId w:val="4"/>
              </w:numPr>
              <w:tabs>
                <w:tab w:val="left" w:pos="7290"/>
              </w:tabs>
              <w:spacing w:line="276" w:lineRule="auto"/>
              <w:rPr>
                <w:rFonts w:ascii="Calibri" w:eastAsia="Calibri" w:hAnsi="Calibri" w:cs="Calibri"/>
              </w:rPr>
            </w:pPr>
            <w:r>
              <w:rPr>
                <w:rFonts w:ascii="Calibri" w:eastAsia="Calibri" w:hAnsi="Calibri" w:cs="Calibri"/>
              </w:rPr>
              <w:t>Hospital accompaniment by an advocate</w:t>
            </w:r>
          </w:p>
          <w:p w14:paraId="0DAA4F05" w14:textId="77777777" w:rsidR="00645437" w:rsidRDefault="00F16D00">
            <w:pPr>
              <w:numPr>
                <w:ilvl w:val="0"/>
                <w:numId w:val="4"/>
              </w:numPr>
              <w:tabs>
                <w:tab w:val="left" w:pos="7290"/>
              </w:tabs>
              <w:spacing w:line="276" w:lineRule="auto"/>
              <w:rPr>
                <w:rFonts w:ascii="Calibri" w:eastAsia="Calibri" w:hAnsi="Calibri" w:cs="Calibri"/>
              </w:rPr>
            </w:pPr>
            <w:r>
              <w:rPr>
                <w:rFonts w:ascii="Calibri" w:eastAsia="Calibri" w:hAnsi="Calibri" w:cs="Calibri"/>
              </w:rPr>
              <w:t>Emergency and ongoing medical and mental health care</w:t>
            </w:r>
          </w:p>
          <w:p w14:paraId="0DAA4F06" w14:textId="77777777" w:rsidR="00645437" w:rsidRDefault="00F16D00">
            <w:pPr>
              <w:numPr>
                <w:ilvl w:val="0"/>
                <w:numId w:val="4"/>
              </w:numPr>
              <w:tabs>
                <w:tab w:val="left" w:pos="7290"/>
              </w:tabs>
              <w:spacing w:line="276" w:lineRule="auto"/>
              <w:rPr>
                <w:rFonts w:ascii="Calibri" w:eastAsia="Calibri" w:hAnsi="Calibri" w:cs="Calibri"/>
              </w:rPr>
            </w:pPr>
            <w:r>
              <w:rPr>
                <w:rFonts w:ascii="Calibri" w:eastAsia="Calibri" w:hAnsi="Calibri" w:cs="Calibri"/>
              </w:rPr>
              <w:t>Forensic evidence collection, as appropriate</w:t>
            </w:r>
          </w:p>
          <w:p w14:paraId="0DAA4F07" w14:textId="77777777" w:rsidR="00645437" w:rsidRDefault="00F16D00">
            <w:pPr>
              <w:numPr>
                <w:ilvl w:val="0"/>
                <w:numId w:val="4"/>
              </w:numPr>
              <w:tabs>
                <w:tab w:val="left" w:pos="7290"/>
              </w:tabs>
              <w:spacing w:line="276" w:lineRule="auto"/>
              <w:rPr>
                <w:rFonts w:ascii="Calibri" w:eastAsia="Calibri" w:hAnsi="Calibri" w:cs="Calibri"/>
              </w:rPr>
            </w:pPr>
            <w:r>
              <w:rPr>
                <w:rFonts w:ascii="Calibri" w:eastAsia="Calibri" w:hAnsi="Calibri" w:cs="Calibri"/>
              </w:rPr>
              <w:t>Preventive measures such as pregnancy and HIV/AIDS tests and prophylaxis</w:t>
            </w:r>
          </w:p>
        </w:tc>
        <w:tc>
          <w:tcPr>
            <w:tcW w:w="1800" w:type="dxa"/>
            <w:tcBorders>
              <w:top w:val="single" w:sz="4" w:space="0" w:color="000000"/>
              <w:left w:val="single" w:sz="4" w:space="0" w:color="000000"/>
              <w:bottom w:val="single" w:sz="4" w:space="0" w:color="000000"/>
              <w:right w:val="single" w:sz="4" w:space="0" w:color="000000"/>
            </w:tcBorders>
          </w:tcPr>
          <w:p w14:paraId="0DAA4F08"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A8" wp14:editId="0DAA50A9">
                  <wp:extent cx="438150" cy="298450"/>
                  <wp:effectExtent l="0" t="0" r="0" b="0"/>
                  <wp:docPr id="104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09"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Interpreting the Medical and Mental Health Standards</w:t>
            </w:r>
          </w:p>
          <w:p w14:paraId="0DAA4F0A" w14:textId="77777777" w:rsidR="00645437" w:rsidRDefault="00645437">
            <w:pPr>
              <w:tabs>
                <w:tab w:val="left" w:pos="7290"/>
              </w:tabs>
              <w:rPr>
                <w:rFonts w:ascii="Calibri" w:eastAsia="Calibri" w:hAnsi="Calibri" w:cs="Calibri"/>
                <w:sz w:val="20"/>
                <w:szCs w:val="20"/>
              </w:rPr>
            </w:pPr>
          </w:p>
        </w:tc>
      </w:tr>
      <w:tr w:rsidR="00645437" w14:paraId="0DAA4F19" w14:textId="77777777">
        <w:tc>
          <w:tcPr>
            <w:tcW w:w="990" w:type="dxa"/>
            <w:tcBorders>
              <w:top w:val="single" w:sz="4" w:space="0" w:color="000000"/>
              <w:left w:val="single" w:sz="4" w:space="0" w:color="000000"/>
              <w:bottom w:val="single" w:sz="4" w:space="0" w:color="000000"/>
              <w:right w:val="single" w:sz="4" w:space="0" w:color="000000"/>
            </w:tcBorders>
          </w:tcPr>
          <w:p w14:paraId="0DAA4F0C"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0D"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Interpreting the Victim Services Standards</w:t>
            </w:r>
          </w:p>
          <w:p w14:paraId="0DAA4F0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AA" wp14:editId="0DAA50AB">
                  <wp:extent cx="2807208" cy="2103120"/>
                  <wp:effectExtent l="38100" t="38100" r="38100" b="38100"/>
                  <wp:docPr id="10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0F" w14:textId="77777777" w:rsidR="00645437" w:rsidRDefault="00645437">
            <w:pPr>
              <w:tabs>
                <w:tab w:val="left" w:pos="7290"/>
              </w:tabs>
              <w:spacing w:line="276" w:lineRule="auto"/>
              <w:rPr>
                <w:rFonts w:ascii="Calibri" w:eastAsia="Calibri" w:hAnsi="Calibri" w:cs="Calibri"/>
              </w:rPr>
            </w:pPr>
          </w:p>
          <w:p w14:paraId="0DAA4F10"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Corrections must:</w:t>
            </w:r>
          </w:p>
          <w:p w14:paraId="0DAA4F11" w14:textId="77777777" w:rsidR="00645437" w:rsidRDefault="00F16D00">
            <w:pPr>
              <w:numPr>
                <w:ilvl w:val="0"/>
                <w:numId w:val="3"/>
              </w:numPr>
              <w:tabs>
                <w:tab w:val="left" w:pos="7290"/>
              </w:tabs>
              <w:spacing w:line="276" w:lineRule="auto"/>
              <w:rPr>
                <w:rFonts w:ascii="Calibri" w:eastAsia="Calibri" w:hAnsi="Calibri" w:cs="Calibri"/>
              </w:rPr>
            </w:pPr>
            <w:r>
              <w:rPr>
                <w:rFonts w:ascii="Calibri" w:eastAsia="Calibri" w:hAnsi="Calibri" w:cs="Calibri"/>
              </w:rPr>
              <w:t xml:space="preserve">Provide care in a trauma-informed manner </w:t>
            </w:r>
          </w:p>
          <w:p w14:paraId="0DAA4F12" w14:textId="77777777" w:rsidR="00645437" w:rsidRDefault="00F16D00">
            <w:pPr>
              <w:numPr>
                <w:ilvl w:val="0"/>
                <w:numId w:val="3"/>
              </w:numPr>
              <w:tabs>
                <w:tab w:val="left" w:pos="7290"/>
              </w:tabs>
              <w:spacing w:line="276" w:lineRule="auto"/>
              <w:rPr>
                <w:rFonts w:ascii="Calibri" w:eastAsia="Calibri" w:hAnsi="Calibri" w:cs="Calibri"/>
              </w:rPr>
            </w:pPr>
            <w:r>
              <w:rPr>
                <w:rFonts w:ascii="Calibri" w:eastAsia="Calibri" w:hAnsi="Calibri" w:cs="Calibri"/>
              </w:rPr>
              <w:t>Develop an institutional coordinated response plan</w:t>
            </w:r>
          </w:p>
          <w:p w14:paraId="0DAA4F13" w14:textId="77777777" w:rsidR="00645437" w:rsidRDefault="00F16D00">
            <w:pPr>
              <w:numPr>
                <w:ilvl w:val="0"/>
                <w:numId w:val="3"/>
              </w:numPr>
              <w:tabs>
                <w:tab w:val="left" w:pos="7290"/>
              </w:tabs>
              <w:spacing w:line="276" w:lineRule="auto"/>
              <w:rPr>
                <w:rFonts w:ascii="Calibri" w:eastAsia="Calibri" w:hAnsi="Calibri" w:cs="Calibri"/>
              </w:rPr>
            </w:pPr>
            <w:r>
              <w:rPr>
                <w:rFonts w:ascii="Calibri" w:eastAsia="Calibri" w:hAnsi="Calibri" w:cs="Calibri"/>
              </w:rPr>
              <w:t>Enter formal agreements with victim advocates and other service providers</w:t>
            </w:r>
          </w:p>
          <w:p w14:paraId="0DAA4F14" w14:textId="77777777" w:rsidR="00645437" w:rsidRDefault="00F16D00">
            <w:pPr>
              <w:numPr>
                <w:ilvl w:val="0"/>
                <w:numId w:val="3"/>
              </w:numPr>
              <w:tabs>
                <w:tab w:val="left" w:pos="7290"/>
              </w:tabs>
              <w:spacing w:line="276" w:lineRule="auto"/>
              <w:rPr>
                <w:rFonts w:ascii="Calibri" w:eastAsia="Calibri" w:hAnsi="Calibri" w:cs="Calibri"/>
              </w:rPr>
            </w:pPr>
            <w:r>
              <w:rPr>
                <w:rFonts w:ascii="Calibri" w:eastAsia="Calibri" w:hAnsi="Calibri" w:cs="Calibri"/>
              </w:rPr>
              <w:t xml:space="preserve">Use a uniform evidence protocol to collect the most usable physical evidence </w:t>
            </w:r>
          </w:p>
          <w:p w14:paraId="0DAA4F15" w14:textId="77777777" w:rsidR="00645437" w:rsidRDefault="00645437">
            <w:pPr>
              <w:tabs>
                <w:tab w:val="left" w:pos="7290"/>
              </w:tabs>
              <w:spacing w:line="276" w:lineRule="auto"/>
              <w:ind w:left="360"/>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0DAA4F16" w14:textId="77777777" w:rsidR="00645437" w:rsidRDefault="00F16D00">
            <w:pPr>
              <w:tabs>
                <w:tab w:val="left" w:pos="7290"/>
              </w:tabs>
              <w:rPr>
                <w:rFonts w:ascii="Calibri" w:eastAsia="Calibri" w:hAnsi="Calibri" w:cs="Calibri"/>
                <w:b/>
                <w:sz w:val="20"/>
                <w:szCs w:val="20"/>
              </w:rPr>
            </w:pPr>
            <w:r>
              <w:rPr>
                <w:rFonts w:ascii="Calibri" w:eastAsia="Calibri" w:hAnsi="Calibri" w:cs="Calibri"/>
                <w:noProof/>
                <w:sz w:val="20"/>
                <w:szCs w:val="20"/>
              </w:rPr>
              <w:drawing>
                <wp:inline distT="0" distB="0" distL="0" distR="0" wp14:anchorId="0DAA50AC" wp14:editId="0DAA50AD">
                  <wp:extent cx="438150" cy="298450"/>
                  <wp:effectExtent l="0" t="0" r="0" b="0"/>
                  <wp:docPr id="1042"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r>
              <w:rPr>
                <w:rFonts w:ascii="Calibri" w:eastAsia="Calibri" w:hAnsi="Calibri" w:cs="Calibri"/>
                <w:b/>
                <w:sz w:val="20"/>
                <w:szCs w:val="20"/>
              </w:rPr>
              <w:t xml:space="preserve"> </w:t>
            </w:r>
          </w:p>
          <w:p w14:paraId="0DAA4F17"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Interpreting the Victim Services Standards</w:t>
            </w:r>
          </w:p>
          <w:p w14:paraId="0DAA4F18" w14:textId="77777777" w:rsidR="00645437" w:rsidRDefault="00645437">
            <w:pPr>
              <w:tabs>
                <w:tab w:val="left" w:pos="7290"/>
              </w:tabs>
              <w:rPr>
                <w:rFonts w:ascii="Calibri" w:eastAsia="Calibri" w:hAnsi="Calibri" w:cs="Calibri"/>
                <w:sz w:val="20"/>
                <w:szCs w:val="20"/>
              </w:rPr>
            </w:pPr>
          </w:p>
        </w:tc>
      </w:tr>
      <w:tr w:rsidR="00645437" w14:paraId="0DAA4F21" w14:textId="77777777">
        <w:tc>
          <w:tcPr>
            <w:tcW w:w="990" w:type="dxa"/>
            <w:tcBorders>
              <w:top w:val="single" w:sz="4" w:space="0" w:color="000000"/>
              <w:left w:val="single" w:sz="4" w:space="0" w:color="000000"/>
              <w:bottom w:val="single" w:sz="4" w:space="0" w:color="000000"/>
              <w:right w:val="single" w:sz="4" w:space="0" w:color="000000"/>
            </w:tcBorders>
          </w:tcPr>
          <w:p w14:paraId="0DAA4F1A"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4F1B"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The Forensic Medical Examination</w:t>
            </w:r>
          </w:p>
          <w:p w14:paraId="0DAA4F1C"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AE" wp14:editId="0DAA50AF">
                  <wp:extent cx="2807208" cy="2103120"/>
                  <wp:effectExtent l="38100" t="38100" r="38100" b="3810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1D"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It is important for investigators to understand the process of the forensic medical examination, both to ensure that the investigator knows how to access and interpret any collected evidence, and to ensure that any conversation the investigator has with the victim prior to or following the exam is informed by the process. Many victims consider the process of the forensic medical exam to be extremely traumatizing and violating. </w:t>
            </w:r>
          </w:p>
        </w:tc>
        <w:tc>
          <w:tcPr>
            <w:tcW w:w="1800" w:type="dxa"/>
            <w:tcBorders>
              <w:top w:val="single" w:sz="4" w:space="0" w:color="000000"/>
              <w:left w:val="single" w:sz="4" w:space="0" w:color="000000"/>
              <w:bottom w:val="single" w:sz="4" w:space="0" w:color="000000"/>
              <w:right w:val="single" w:sz="4" w:space="0" w:color="000000"/>
            </w:tcBorders>
          </w:tcPr>
          <w:p w14:paraId="0DAA4F1E"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B0" wp14:editId="0DAA50B1">
                  <wp:extent cx="438150" cy="298450"/>
                  <wp:effectExtent l="0" t="0" r="0" b="0"/>
                  <wp:docPr id="104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1F"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The Forensic Medical Examination</w:t>
            </w:r>
          </w:p>
          <w:p w14:paraId="0DAA4F20" w14:textId="77777777" w:rsidR="00645437" w:rsidRDefault="00645437">
            <w:pPr>
              <w:tabs>
                <w:tab w:val="left" w:pos="7290"/>
              </w:tabs>
              <w:rPr>
                <w:rFonts w:ascii="Calibri" w:eastAsia="Calibri" w:hAnsi="Calibri" w:cs="Calibri"/>
                <w:sz w:val="20"/>
                <w:szCs w:val="20"/>
              </w:rPr>
            </w:pPr>
          </w:p>
        </w:tc>
      </w:tr>
      <w:tr w:rsidR="00645437" w14:paraId="0DAA4F2C" w14:textId="77777777">
        <w:tc>
          <w:tcPr>
            <w:tcW w:w="990" w:type="dxa"/>
            <w:tcBorders>
              <w:top w:val="single" w:sz="4" w:space="0" w:color="000000"/>
              <w:left w:val="single" w:sz="4" w:space="0" w:color="000000"/>
              <w:bottom w:val="single" w:sz="4" w:space="0" w:color="000000"/>
              <w:right w:val="single" w:sz="4" w:space="0" w:color="000000"/>
            </w:tcBorders>
          </w:tcPr>
          <w:p w14:paraId="0DAA4F22" w14:textId="77777777" w:rsidR="00645437" w:rsidRDefault="00F16D00">
            <w:pPr>
              <w:tabs>
                <w:tab w:val="left" w:pos="7290"/>
              </w:tabs>
              <w:jc w:val="center"/>
              <w:rPr>
                <w:rFonts w:ascii="Calibri" w:eastAsia="Calibri" w:hAnsi="Calibri" w:cs="Calibri"/>
                <w:b/>
              </w:rPr>
            </w:pPr>
            <w:r>
              <w:rPr>
                <w:rFonts w:ascii="Calibri" w:eastAsia="Calibri" w:hAnsi="Calibri" w:cs="Calibri"/>
                <w:b/>
              </w:rPr>
              <w:t>2 min</w:t>
            </w:r>
          </w:p>
        </w:tc>
        <w:tc>
          <w:tcPr>
            <w:tcW w:w="6570" w:type="dxa"/>
            <w:tcBorders>
              <w:top w:val="single" w:sz="4" w:space="0" w:color="000000"/>
              <w:left w:val="single" w:sz="4" w:space="0" w:color="000000"/>
              <w:bottom w:val="single" w:sz="4" w:space="0" w:color="000000"/>
              <w:right w:val="single" w:sz="4" w:space="0" w:color="000000"/>
            </w:tcBorders>
          </w:tcPr>
          <w:p w14:paraId="0DAA4F23"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Sexual Assault Nurse Examiner</w:t>
            </w:r>
          </w:p>
          <w:p w14:paraId="0DAA4F24"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B2" wp14:editId="0DAA50B3">
                  <wp:extent cx="2804160" cy="2103120"/>
                  <wp:effectExtent l="38100" t="38100" r="38100" b="38100"/>
                  <wp:docPr id="10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25"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 Sexual Assault Nurse Examiner (SANE) is a registered nurse who has been specially trained to provide comprehensive care to sexual abuse patients; who demonstrates competency in conducting a medical forensic examination; and has the ability to be an expert witness. </w:t>
            </w:r>
          </w:p>
          <w:p w14:paraId="0DAA4F26" w14:textId="77777777" w:rsidR="00645437" w:rsidRDefault="00645437">
            <w:pPr>
              <w:tabs>
                <w:tab w:val="left" w:pos="7290"/>
              </w:tabs>
              <w:spacing w:line="276" w:lineRule="auto"/>
              <w:rPr>
                <w:rFonts w:ascii="Calibri" w:eastAsia="Calibri" w:hAnsi="Calibri" w:cs="Calibri"/>
              </w:rPr>
            </w:pPr>
          </w:p>
          <w:p w14:paraId="0DAA4F27"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“Forensic Nurses specialize in caring for victims and perpetrators of violence. They care for the physical, psychological, and social </w:t>
            </w:r>
            <w:r>
              <w:rPr>
                <w:rFonts w:ascii="Calibri" w:eastAsia="Calibri" w:hAnsi="Calibri" w:cs="Calibri"/>
              </w:rPr>
              <w:lastRenderedPageBreak/>
              <w:t xml:space="preserve">trauma that occurs in patients who have been sexually abused. Forensic nurses also have a specialized knowledge of the legal system and collect evidence, provide medical testimony in court, and provide consultation to legal authorities.”  </w:t>
            </w:r>
          </w:p>
          <w:p w14:paraId="0DAA4F2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IAFN – Texas Chapter</w:t>
            </w:r>
          </w:p>
        </w:tc>
        <w:tc>
          <w:tcPr>
            <w:tcW w:w="1800" w:type="dxa"/>
            <w:tcBorders>
              <w:top w:val="single" w:sz="4" w:space="0" w:color="000000"/>
              <w:left w:val="single" w:sz="4" w:space="0" w:color="000000"/>
              <w:bottom w:val="single" w:sz="4" w:space="0" w:color="000000"/>
              <w:right w:val="single" w:sz="4" w:space="0" w:color="000000"/>
            </w:tcBorders>
          </w:tcPr>
          <w:p w14:paraId="0DAA4F29"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B4" wp14:editId="0DAA50B5">
                  <wp:extent cx="438150" cy="298450"/>
                  <wp:effectExtent l="0" t="0" r="0" b="0"/>
                  <wp:docPr id="1046"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2A"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Sexual Assault Nurse Examiner</w:t>
            </w:r>
          </w:p>
          <w:p w14:paraId="0DAA4F2B" w14:textId="77777777" w:rsidR="00645437" w:rsidRDefault="00645437">
            <w:pPr>
              <w:tabs>
                <w:tab w:val="left" w:pos="7290"/>
              </w:tabs>
              <w:rPr>
                <w:rFonts w:ascii="Calibri" w:eastAsia="Calibri" w:hAnsi="Calibri" w:cs="Calibri"/>
                <w:sz w:val="20"/>
                <w:szCs w:val="20"/>
              </w:rPr>
            </w:pPr>
          </w:p>
        </w:tc>
      </w:tr>
      <w:tr w:rsidR="00645437" w14:paraId="0DAA4F34" w14:textId="77777777">
        <w:tc>
          <w:tcPr>
            <w:tcW w:w="990" w:type="dxa"/>
            <w:tcBorders>
              <w:top w:val="single" w:sz="4" w:space="0" w:color="000000"/>
              <w:left w:val="single" w:sz="4" w:space="0" w:color="000000"/>
              <w:bottom w:val="single" w:sz="4" w:space="0" w:color="000000"/>
              <w:right w:val="single" w:sz="4" w:space="0" w:color="000000"/>
            </w:tcBorders>
          </w:tcPr>
          <w:p w14:paraId="0DAA4F2D"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2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Forensic Medical Examination</w:t>
            </w:r>
          </w:p>
          <w:p w14:paraId="0DAA4F2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B6" wp14:editId="0DAA50B7">
                  <wp:extent cx="2804160" cy="2103120"/>
                  <wp:effectExtent l="38100" t="38100" r="38100" b="38100"/>
                  <wp:docPr id="10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30"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 forensic medical examination is a medico-legal physical examination to retrieve evidence to support an allegation of sexual abuse for future prosecution. The examination, collection of evidence, and documentation of injury may be necessary either to substantiate an allegation or to help strengthen a case. The goal is to provide interventions that improve the physical and mental health and well-being of sexual abuse survivors – by decreasing the acute and </w:t>
            </w:r>
            <w:proofErr w:type="gramStart"/>
            <w:r>
              <w:rPr>
                <w:rFonts w:ascii="Calibri" w:eastAsia="Calibri" w:hAnsi="Calibri" w:cs="Calibri"/>
              </w:rPr>
              <w:t>long term</w:t>
            </w:r>
            <w:proofErr w:type="gramEnd"/>
            <w:r>
              <w:rPr>
                <w:rFonts w:ascii="Calibri" w:eastAsia="Calibri" w:hAnsi="Calibri" w:cs="Calibri"/>
              </w:rPr>
              <w:t xml:space="preserve"> effects of the abuse and helping to return the victim to their previous functioning state.</w:t>
            </w:r>
          </w:p>
        </w:tc>
        <w:tc>
          <w:tcPr>
            <w:tcW w:w="1800" w:type="dxa"/>
            <w:tcBorders>
              <w:top w:val="single" w:sz="4" w:space="0" w:color="000000"/>
              <w:left w:val="single" w:sz="4" w:space="0" w:color="000000"/>
              <w:bottom w:val="single" w:sz="4" w:space="0" w:color="000000"/>
              <w:right w:val="single" w:sz="4" w:space="0" w:color="000000"/>
            </w:tcBorders>
          </w:tcPr>
          <w:p w14:paraId="0DAA4F31"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B8" wp14:editId="0DAA50B9">
                  <wp:extent cx="438150" cy="298450"/>
                  <wp:effectExtent l="0" t="0" r="0" b="0"/>
                  <wp:docPr id="1048"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32"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Forensic Medical Examination</w:t>
            </w:r>
          </w:p>
          <w:p w14:paraId="0DAA4F33" w14:textId="77777777" w:rsidR="00645437" w:rsidRDefault="00645437">
            <w:pPr>
              <w:tabs>
                <w:tab w:val="left" w:pos="7290"/>
              </w:tabs>
              <w:rPr>
                <w:rFonts w:ascii="Calibri" w:eastAsia="Calibri" w:hAnsi="Calibri" w:cs="Calibri"/>
                <w:sz w:val="20"/>
                <w:szCs w:val="20"/>
              </w:rPr>
            </w:pPr>
          </w:p>
        </w:tc>
      </w:tr>
    </w:tbl>
    <w:p w14:paraId="0DAA4F35" w14:textId="77777777" w:rsidR="00645437" w:rsidRDefault="00F16D00">
      <w:r>
        <w:br w:type="page"/>
      </w:r>
    </w:p>
    <w:tbl>
      <w:tblPr>
        <w:tblStyle w:val="a6"/>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F3D" w14:textId="77777777">
        <w:tc>
          <w:tcPr>
            <w:tcW w:w="990" w:type="dxa"/>
            <w:tcBorders>
              <w:top w:val="single" w:sz="4" w:space="0" w:color="000000"/>
              <w:left w:val="single" w:sz="4" w:space="0" w:color="000000"/>
              <w:bottom w:val="single" w:sz="4" w:space="0" w:color="000000"/>
              <w:right w:val="single" w:sz="4" w:space="0" w:color="000000"/>
            </w:tcBorders>
          </w:tcPr>
          <w:p w14:paraId="0DAA4F36"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4F3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Medical Examination for Sexual Abuse Victim</w:t>
            </w:r>
          </w:p>
          <w:p w14:paraId="0DAA4F38"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BA" wp14:editId="0DAA50BB">
                  <wp:extent cx="2804160" cy="2103120"/>
                  <wp:effectExtent l="38100" t="38100" r="38100" b="38100"/>
                  <wp:docPr id="10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39"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 victim always has the choice to not undergo an exam. </w:t>
            </w:r>
          </w:p>
        </w:tc>
        <w:tc>
          <w:tcPr>
            <w:tcW w:w="1800" w:type="dxa"/>
            <w:tcBorders>
              <w:top w:val="single" w:sz="4" w:space="0" w:color="000000"/>
              <w:left w:val="single" w:sz="4" w:space="0" w:color="000000"/>
              <w:bottom w:val="single" w:sz="4" w:space="0" w:color="000000"/>
              <w:right w:val="single" w:sz="4" w:space="0" w:color="000000"/>
            </w:tcBorders>
          </w:tcPr>
          <w:p w14:paraId="0DAA4F3A"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BC" wp14:editId="0DAA50BD">
                  <wp:extent cx="438150" cy="298450"/>
                  <wp:effectExtent l="0" t="0" r="0" b="0"/>
                  <wp:docPr id="103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3B" w14:textId="77777777" w:rsidR="00645437" w:rsidRDefault="00F16D00">
            <w:pPr>
              <w:tabs>
                <w:tab w:val="left" w:pos="7290"/>
              </w:tabs>
              <w:spacing w:before="280" w:after="280"/>
              <w:rPr>
                <w:rFonts w:ascii="Calibri" w:eastAsia="Calibri" w:hAnsi="Calibri" w:cs="Calibri"/>
                <w:b/>
                <w:sz w:val="20"/>
                <w:szCs w:val="20"/>
              </w:rPr>
            </w:pPr>
            <w:r>
              <w:rPr>
                <w:rFonts w:ascii="Calibri" w:eastAsia="Calibri" w:hAnsi="Calibri" w:cs="Calibri"/>
                <w:b/>
                <w:sz w:val="20"/>
                <w:szCs w:val="20"/>
              </w:rPr>
              <w:t>Medical Examination for Sexual Assault Victim</w:t>
            </w:r>
          </w:p>
          <w:p w14:paraId="0DAA4F3C" w14:textId="77777777" w:rsidR="00645437" w:rsidRDefault="00F16D00">
            <w:pPr>
              <w:tabs>
                <w:tab w:val="left" w:pos="7290"/>
              </w:tabs>
              <w:rPr>
                <w:rFonts w:ascii="Calibri" w:eastAsia="Calibri" w:hAnsi="Calibri" w:cs="Calibri"/>
                <w:sz w:val="20"/>
                <w:szCs w:val="20"/>
              </w:rPr>
            </w:pPr>
            <w:r>
              <w:rPr>
                <w:rFonts w:ascii="Calibri" w:eastAsia="Calibri" w:hAnsi="Calibri" w:cs="Calibri"/>
                <w:color w:val="FF0000"/>
                <w:sz w:val="20"/>
                <w:szCs w:val="20"/>
              </w:rPr>
              <w:t xml:space="preserve">Check your jurisdiction to establish the correct time frame for this slide. Some jurisdictions limit the timeframe to 72 hours; others have extended the timeline to 120 hours or longer. </w:t>
            </w:r>
          </w:p>
        </w:tc>
      </w:tr>
      <w:tr w:rsidR="00645437" w14:paraId="0DAA4F45" w14:textId="77777777">
        <w:tc>
          <w:tcPr>
            <w:tcW w:w="990" w:type="dxa"/>
            <w:tcBorders>
              <w:top w:val="single" w:sz="4" w:space="0" w:color="000000"/>
              <w:left w:val="single" w:sz="4" w:space="0" w:color="000000"/>
              <w:bottom w:val="single" w:sz="4" w:space="0" w:color="000000"/>
              <w:right w:val="single" w:sz="4" w:space="0" w:color="000000"/>
            </w:tcBorders>
          </w:tcPr>
          <w:p w14:paraId="0DAA4F3E"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3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Dual Purpose of the Forensic Exam</w:t>
            </w:r>
          </w:p>
          <w:p w14:paraId="0DAA4F40"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BE" wp14:editId="0DAA50BF">
                  <wp:extent cx="2804160" cy="2103120"/>
                  <wp:effectExtent l="38100" t="38100" r="38100" b="38100"/>
                  <wp:docPr id="10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41"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The forensic medical exam has two purposes. The primary purpose is to address the medical needs of the victim. The secondary purpose is to assist in investigating the abuse by collecting any evidence that may exist.</w:t>
            </w:r>
          </w:p>
        </w:tc>
        <w:tc>
          <w:tcPr>
            <w:tcW w:w="1800" w:type="dxa"/>
            <w:tcBorders>
              <w:top w:val="single" w:sz="4" w:space="0" w:color="000000"/>
              <w:left w:val="single" w:sz="4" w:space="0" w:color="000000"/>
              <w:bottom w:val="single" w:sz="4" w:space="0" w:color="000000"/>
              <w:right w:val="single" w:sz="4" w:space="0" w:color="000000"/>
            </w:tcBorders>
          </w:tcPr>
          <w:p w14:paraId="0DAA4F42"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C0" wp14:editId="0DAA50C1">
                  <wp:extent cx="438150" cy="298450"/>
                  <wp:effectExtent l="0" t="0" r="0" b="0"/>
                  <wp:docPr id="1032"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43"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Dual Purpose of the Forensic Exam</w:t>
            </w:r>
          </w:p>
          <w:p w14:paraId="0DAA4F44" w14:textId="77777777" w:rsidR="00645437" w:rsidRDefault="00645437">
            <w:pPr>
              <w:tabs>
                <w:tab w:val="left" w:pos="7290"/>
              </w:tabs>
              <w:rPr>
                <w:rFonts w:ascii="Calibri" w:eastAsia="Calibri" w:hAnsi="Calibri" w:cs="Calibri"/>
                <w:sz w:val="20"/>
                <w:szCs w:val="20"/>
              </w:rPr>
            </w:pPr>
          </w:p>
        </w:tc>
      </w:tr>
    </w:tbl>
    <w:p w14:paraId="0DAA4F46" w14:textId="77777777" w:rsidR="00645437" w:rsidRDefault="00F16D00">
      <w:r>
        <w:br w:type="page"/>
      </w:r>
    </w:p>
    <w:tbl>
      <w:tblPr>
        <w:tblStyle w:val="a7"/>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F4D" w14:textId="77777777">
        <w:tc>
          <w:tcPr>
            <w:tcW w:w="990" w:type="dxa"/>
            <w:tcBorders>
              <w:top w:val="single" w:sz="4" w:space="0" w:color="000000"/>
              <w:left w:val="single" w:sz="4" w:space="0" w:color="000000"/>
              <w:bottom w:val="single" w:sz="4" w:space="0" w:color="000000"/>
              <w:right w:val="single" w:sz="4" w:space="0" w:color="000000"/>
            </w:tcBorders>
          </w:tcPr>
          <w:p w14:paraId="0DAA4F47"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4F48"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Restraints should not restrict!</w:t>
            </w:r>
          </w:p>
          <w:p w14:paraId="0DAA4F49"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C2" wp14:editId="0DAA50C3">
                  <wp:extent cx="2807208" cy="2103120"/>
                  <wp:effectExtent l="38100" t="38100" r="38100" b="38100"/>
                  <wp:docPr id="10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4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Prison Rape Elimination Act of 2003 recommends that medical services provided to incarcerated victims should be no less than the care received by a victim in any health care facility/setting, and PREA standard 115.83 (c) requires provision of community level of care. In a situation of sexual abuse, a victim’s status as an inmate or resident should not detrimentally affect the care they receive. </w:t>
            </w:r>
          </w:p>
        </w:tc>
        <w:tc>
          <w:tcPr>
            <w:tcW w:w="1800" w:type="dxa"/>
            <w:tcBorders>
              <w:top w:val="single" w:sz="4" w:space="0" w:color="000000"/>
              <w:left w:val="single" w:sz="4" w:space="0" w:color="000000"/>
              <w:bottom w:val="single" w:sz="4" w:space="0" w:color="000000"/>
              <w:right w:val="single" w:sz="4" w:space="0" w:color="000000"/>
            </w:tcBorders>
          </w:tcPr>
          <w:p w14:paraId="0DAA4F4B"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C4" wp14:editId="0DAA50C5">
                  <wp:extent cx="438150" cy="298450"/>
                  <wp:effectExtent l="0" t="0" r="0" b="0"/>
                  <wp:docPr id="103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4C"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Restraints should not restrict</w:t>
            </w:r>
          </w:p>
        </w:tc>
      </w:tr>
      <w:tr w:rsidR="00645437" w14:paraId="0DAA4F57" w14:textId="77777777">
        <w:tc>
          <w:tcPr>
            <w:tcW w:w="990" w:type="dxa"/>
            <w:tcBorders>
              <w:top w:val="single" w:sz="4" w:space="0" w:color="000000"/>
              <w:left w:val="single" w:sz="4" w:space="0" w:color="000000"/>
              <w:bottom w:val="single" w:sz="4" w:space="0" w:color="000000"/>
              <w:right w:val="single" w:sz="4" w:space="0" w:color="000000"/>
            </w:tcBorders>
          </w:tcPr>
          <w:p w14:paraId="0DAA4F4E"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4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Victim Adaptations</w:t>
            </w:r>
          </w:p>
          <w:p w14:paraId="0DAA4F50"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C6" wp14:editId="0DAA50C7">
                  <wp:extent cx="2804160" cy="2103120"/>
                  <wp:effectExtent l="38100" t="38100" r="38100" b="38100"/>
                  <wp:docPr id="1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51"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examination is adapted as necessary to address the needs and circumstances of the victim – physical and psychological. </w:t>
            </w:r>
          </w:p>
          <w:p w14:paraId="0DAA4F52" w14:textId="77777777" w:rsidR="00645437" w:rsidRDefault="00645437">
            <w:pPr>
              <w:tabs>
                <w:tab w:val="left" w:pos="7290"/>
              </w:tabs>
              <w:spacing w:line="276" w:lineRule="auto"/>
              <w:rPr>
                <w:rFonts w:ascii="Calibri" w:eastAsia="Calibri" w:hAnsi="Calibri" w:cs="Calibri"/>
              </w:rPr>
            </w:pPr>
          </w:p>
          <w:p w14:paraId="0DAA4F53"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It is important to avoid making assumptions about the victim and the abuse. Discussions with the victim are framed in such a way that does not assume they are of a specific background. Medical practitioners try to understand their circumstances and tailor the exam process to address their needs and concerns. If </w:t>
            </w:r>
            <w:r>
              <w:rPr>
                <w:rFonts w:ascii="Calibri" w:eastAsia="Calibri" w:hAnsi="Calibri" w:cs="Calibri"/>
              </w:rPr>
              <w:lastRenderedPageBreak/>
              <w:t>possible, this should be true of medical treatment within the victim’s facility as well as at external hospitals or clinics.</w:t>
            </w:r>
          </w:p>
        </w:tc>
        <w:tc>
          <w:tcPr>
            <w:tcW w:w="1800" w:type="dxa"/>
            <w:tcBorders>
              <w:top w:val="single" w:sz="4" w:space="0" w:color="000000"/>
              <w:left w:val="single" w:sz="4" w:space="0" w:color="000000"/>
              <w:bottom w:val="single" w:sz="4" w:space="0" w:color="000000"/>
              <w:right w:val="single" w:sz="4" w:space="0" w:color="000000"/>
            </w:tcBorders>
          </w:tcPr>
          <w:p w14:paraId="0DAA4F54"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C8" wp14:editId="0DAA50C9">
                  <wp:extent cx="438150" cy="298450"/>
                  <wp:effectExtent l="0" t="0" r="0" b="0"/>
                  <wp:docPr id="1036"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55"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Victim Adaptations</w:t>
            </w:r>
          </w:p>
          <w:p w14:paraId="0DAA4F56" w14:textId="77777777" w:rsidR="00645437" w:rsidRDefault="00645437">
            <w:pPr>
              <w:tabs>
                <w:tab w:val="left" w:pos="7290"/>
              </w:tabs>
              <w:rPr>
                <w:rFonts w:ascii="Calibri" w:eastAsia="Calibri" w:hAnsi="Calibri" w:cs="Calibri"/>
                <w:sz w:val="20"/>
                <w:szCs w:val="20"/>
              </w:rPr>
            </w:pPr>
          </w:p>
        </w:tc>
      </w:tr>
      <w:tr w:rsidR="00645437" w14:paraId="0DAA4F61" w14:textId="77777777">
        <w:tc>
          <w:tcPr>
            <w:tcW w:w="990" w:type="dxa"/>
            <w:tcBorders>
              <w:top w:val="single" w:sz="4" w:space="0" w:color="000000"/>
              <w:left w:val="single" w:sz="4" w:space="0" w:color="000000"/>
              <w:bottom w:val="single" w:sz="4" w:space="0" w:color="000000"/>
              <w:right w:val="single" w:sz="4" w:space="0" w:color="000000"/>
            </w:tcBorders>
          </w:tcPr>
          <w:p w14:paraId="0DAA4F58"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59"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What does a sexual assault forensic medical examination entail?</w:t>
            </w:r>
          </w:p>
          <w:p w14:paraId="0DAA4F5A"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CA" wp14:editId="0DAA50CB">
                  <wp:extent cx="2804160" cy="2103120"/>
                  <wp:effectExtent l="38100" t="38100" r="38100" b="3810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5B"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It is important to prepare the victim prior to beginning any procedure. This also aids in restoring the victim’s physiological and emotional sense of predictability and control over what’s happening.</w:t>
            </w:r>
          </w:p>
          <w:p w14:paraId="0DAA4F5C" w14:textId="77777777" w:rsidR="00645437" w:rsidRDefault="00645437">
            <w:pPr>
              <w:tabs>
                <w:tab w:val="left" w:pos="7290"/>
              </w:tabs>
              <w:spacing w:line="276" w:lineRule="auto"/>
              <w:rPr>
                <w:rFonts w:ascii="Calibri" w:eastAsia="Calibri" w:hAnsi="Calibri" w:cs="Calibri"/>
              </w:rPr>
            </w:pPr>
          </w:p>
          <w:p w14:paraId="0DAA4F5D"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Once consent is obtained from the patient, a medical history is taken to determine injuries and appropriate medical treatment. The next step is a head-to-toe examination, including the anogenital area, </w:t>
            </w:r>
            <w:proofErr w:type="gramStart"/>
            <w:r>
              <w:rPr>
                <w:rFonts w:ascii="Calibri" w:eastAsia="Calibri" w:hAnsi="Calibri" w:cs="Calibri"/>
              </w:rPr>
              <w:t>in order for</w:t>
            </w:r>
            <w:proofErr w:type="gramEnd"/>
            <w:r>
              <w:rPr>
                <w:rFonts w:ascii="Calibri" w:eastAsia="Calibri" w:hAnsi="Calibri" w:cs="Calibri"/>
              </w:rPr>
              <w:t xml:space="preserve"> the SANE to document trauma to any part of the body. Lastly, a collection of forensic evidence is done.</w:t>
            </w:r>
          </w:p>
        </w:tc>
        <w:tc>
          <w:tcPr>
            <w:tcW w:w="1800" w:type="dxa"/>
            <w:tcBorders>
              <w:top w:val="single" w:sz="4" w:space="0" w:color="000000"/>
              <w:left w:val="single" w:sz="4" w:space="0" w:color="000000"/>
              <w:bottom w:val="single" w:sz="4" w:space="0" w:color="000000"/>
              <w:right w:val="single" w:sz="4" w:space="0" w:color="000000"/>
            </w:tcBorders>
          </w:tcPr>
          <w:p w14:paraId="0DAA4F5E"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CC" wp14:editId="0DAA50CD">
                  <wp:extent cx="438150" cy="298450"/>
                  <wp:effectExtent l="0" t="0" r="0" b="0"/>
                  <wp:docPr id="1038"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5F"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What does a sexual assault forensic medical examination entail?</w:t>
            </w:r>
          </w:p>
          <w:p w14:paraId="0DAA4F60" w14:textId="77777777" w:rsidR="00645437" w:rsidRDefault="00645437">
            <w:pPr>
              <w:tabs>
                <w:tab w:val="left" w:pos="7290"/>
              </w:tabs>
              <w:rPr>
                <w:rFonts w:ascii="Calibri" w:eastAsia="Calibri" w:hAnsi="Calibri" w:cs="Calibri"/>
                <w:sz w:val="20"/>
                <w:szCs w:val="20"/>
              </w:rPr>
            </w:pPr>
          </w:p>
        </w:tc>
      </w:tr>
      <w:tr w:rsidR="00645437" w14:paraId="0DAA4F71" w14:textId="77777777">
        <w:tc>
          <w:tcPr>
            <w:tcW w:w="990" w:type="dxa"/>
            <w:tcBorders>
              <w:top w:val="single" w:sz="4" w:space="0" w:color="000000"/>
              <w:left w:val="single" w:sz="4" w:space="0" w:color="000000"/>
              <w:bottom w:val="single" w:sz="4" w:space="0" w:color="000000"/>
              <w:right w:val="single" w:sz="4" w:space="0" w:color="000000"/>
            </w:tcBorders>
          </w:tcPr>
          <w:p w14:paraId="0DAA4F62" w14:textId="77777777" w:rsidR="00645437" w:rsidRDefault="00F16D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0DAA4F63"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First Steps</w:t>
            </w:r>
          </w:p>
          <w:p w14:paraId="0DAA4F64"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0CE" wp14:editId="0DAA50CF">
                  <wp:extent cx="2807208" cy="2103120"/>
                  <wp:effectExtent l="38100" t="38100" r="38100" b="38100"/>
                  <wp:docPr id="10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65"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lastRenderedPageBreak/>
              <w:t>Once it has been decided that a sexual assault kit will be utilized, the seals are broken, and the kit opened. This is the first step in the chain-of-custody.</w:t>
            </w:r>
          </w:p>
          <w:p w14:paraId="0DAA4F66" w14:textId="77777777" w:rsidR="00645437" w:rsidRDefault="00645437">
            <w:pPr>
              <w:tabs>
                <w:tab w:val="left" w:pos="7290"/>
              </w:tabs>
              <w:spacing w:line="276" w:lineRule="auto"/>
              <w:rPr>
                <w:rFonts w:ascii="Calibri" w:eastAsia="Calibri" w:hAnsi="Calibri" w:cs="Calibri"/>
              </w:rPr>
            </w:pPr>
          </w:p>
          <w:p w14:paraId="0DAA4F67"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u w:val="single"/>
              </w:rPr>
              <w:t>Step 1:</w:t>
            </w:r>
            <w:r>
              <w:rPr>
                <w:rFonts w:ascii="Calibri" w:eastAsia="Calibri" w:hAnsi="Calibri" w:cs="Calibri"/>
              </w:rPr>
              <w:t xml:space="preserve">  Giving consent. The victim (or guardian) MUST give consent for this examination. In extenuating circumstances where consent cannot be obtained (such unconsciousness or impairment) a next-of-kin may be contacted for consent (with witnesses) and/or a court-order may be necessary. </w:t>
            </w:r>
          </w:p>
          <w:p w14:paraId="0DAA4F68" w14:textId="77777777" w:rsidR="00645437" w:rsidRDefault="00645437">
            <w:pPr>
              <w:tabs>
                <w:tab w:val="left" w:pos="7290"/>
              </w:tabs>
              <w:spacing w:line="276" w:lineRule="auto"/>
              <w:rPr>
                <w:rFonts w:ascii="Calibri" w:eastAsia="Calibri" w:hAnsi="Calibri" w:cs="Calibri"/>
              </w:rPr>
            </w:pPr>
          </w:p>
          <w:p w14:paraId="0DAA4F69"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u w:val="single"/>
              </w:rPr>
              <w:t>Step 2a:</w:t>
            </w:r>
            <w:r>
              <w:rPr>
                <w:rFonts w:ascii="Calibri" w:eastAsia="Calibri" w:hAnsi="Calibri" w:cs="Calibri"/>
              </w:rPr>
              <w:t xml:space="preserve"> History of assault. A more detailed description of the assault. The “who, what, when, </w:t>
            </w:r>
            <w:proofErr w:type="gramStart"/>
            <w:r>
              <w:rPr>
                <w:rFonts w:ascii="Calibri" w:eastAsia="Calibri" w:hAnsi="Calibri" w:cs="Calibri"/>
              </w:rPr>
              <w:t>where,</w:t>
            </w:r>
            <w:proofErr w:type="gramEnd"/>
            <w:r>
              <w:rPr>
                <w:rFonts w:ascii="Calibri" w:eastAsia="Calibri" w:hAnsi="Calibri" w:cs="Calibri"/>
              </w:rPr>
              <w:t xml:space="preserve"> how” of forensics. Was the perpetrator known? Were there threats? Did the victim fight? Did ejaculation occur? What positions was the victim forced into? Is there any area where biological evidence may be found?</w:t>
            </w:r>
          </w:p>
          <w:p w14:paraId="0DAA4F6A" w14:textId="77777777" w:rsidR="00645437" w:rsidRDefault="00645437">
            <w:pPr>
              <w:tabs>
                <w:tab w:val="left" w:pos="7290"/>
              </w:tabs>
              <w:spacing w:line="276" w:lineRule="auto"/>
              <w:rPr>
                <w:rFonts w:ascii="Calibri" w:eastAsia="Calibri" w:hAnsi="Calibri" w:cs="Calibri"/>
              </w:rPr>
            </w:pPr>
          </w:p>
          <w:p w14:paraId="0DAA4F6B"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Edmond </w:t>
            </w:r>
            <w:proofErr w:type="spellStart"/>
            <w:r>
              <w:rPr>
                <w:rFonts w:ascii="Calibri" w:eastAsia="Calibri" w:hAnsi="Calibri" w:cs="Calibri"/>
              </w:rPr>
              <w:t>Locards</w:t>
            </w:r>
            <w:proofErr w:type="spellEnd"/>
            <w:r>
              <w:rPr>
                <w:rFonts w:ascii="Calibri" w:eastAsia="Calibri" w:hAnsi="Calibri" w:cs="Calibri"/>
              </w:rPr>
              <w:t>’ Principle of forensics states that: “With contact between two items, there will be an exchange.” That’s what the forensic exam is after – the exchange…the evidence. Our forensic field: the victims’ body.</w:t>
            </w:r>
          </w:p>
          <w:p w14:paraId="0DAA4F6C" w14:textId="77777777" w:rsidR="00645437" w:rsidRDefault="00645437">
            <w:pPr>
              <w:tabs>
                <w:tab w:val="left" w:pos="7290"/>
              </w:tabs>
              <w:spacing w:line="276" w:lineRule="auto"/>
              <w:rPr>
                <w:rFonts w:ascii="Calibri" w:eastAsia="Calibri" w:hAnsi="Calibri" w:cs="Calibri"/>
              </w:rPr>
            </w:pPr>
          </w:p>
          <w:p w14:paraId="0DAA4F6D" w14:textId="77777777" w:rsidR="00645437" w:rsidRDefault="00F16D00">
            <w:pPr>
              <w:tabs>
                <w:tab w:val="left" w:pos="7290"/>
              </w:tabs>
              <w:spacing w:line="276" w:lineRule="auto"/>
              <w:rPr>
                <w:rFonts w:ascii="Calibri" w:eastAsia="Calibri" w:hAnsi="Calibri" w:cs="Calibri"/>
                <w:color w:val="FF0000"/>
              </w:rPr>
            </w:pPr>
            <w:r>
              <w:rPr>
                <w:rFonts w:ascii="Calibri" w:eastAsia="Calibri" w:hAnsi="Calibri" w:cs="Calibri"/>
                <w:u w:val="single"/>
              </w:rPr>
              <w:t>Step 2b:</w:t>
            </w:r>
            <w:r>
              <w:rPr>
                <w:rFonts w:ascii="Calibri" w:eastAsia="Calibri" w:hAnsi="Calibri" w:cs="Calibri"/>
              </w:rPr>
              <w:t xml:space="preserve"> A complete medical history of the victim. This </w:t>
            </w:r>
            <w:proofErr w:type="gramStart"/>
            <w:r>
              <w:rPr>
                <w:rFonts w:ascii="Calibri" w:eastAsia="Calibri" w:hAnsi="Calibri" w:cs="Calibri"/>
              </w:rPr>
              <w:t>includes:</w:t>
            </w:r>
            <w:proofErr w:type="gramEnd"/>
            <w:r>
              <w:rPr>
                <w:rFonts w:ascii="Calibri" w:eastAsia="Calibri" w:hAnsi="Calibri" w:cs="Calibri"/>
              </w:rPr>
              <w:t xml:space="preserve"> past surgeries/injuries; pregnancies; and any existing conditions or communicable</w:t>
            </w:r>
            <w:r>
              <w:rPr>
                <w:rFonts w:ascii="Calibri" w:eastAsia="Calibri" w:hAnsi="Calibri" w:cs="Calibri"/>
                <w:color w:val="FF0000"/>
              </w:rPr>
              <w:t xml:space="preserve"> </w:t>
            </w:r>
            <w:r>
              <w:rPr>
                <w:rFonts w:ascii="Calibri" w:eastAsia="Calibri" w:hAnsi="Calibri" w:cs="Calibri"/>
              </w:rPr>
              <w:t>diseases.</w:t>
            </w:r>
          </w:p>
        </w:tc>
        <w:tc>
          <w:tcPr>
            <w:tcW w:w="1800" w:type="dxa"/>
            <w:tcBorders>
              <w:top w:val="single" w:sz="4" w:space="0" w:color="000000"/>
              <w:left w:val="single" w:sz="4" w:space="0" w:color="000000"/>
              <w:bottom w:val="single" w:sz="4" w:space="0" w:color="000000"/>
              <w:right w:val="single" w:sz="4" w:space="0" w:color="000000"/>
            </w:tcBorders>
          </w:tcPr>
          <w:p w14:paraId="0DAA4F6E"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D0" wp14:editId="0DAA50D1">
                  <wp:extent cx="438150" cy="298450"/>
                  <wp:effectExtent l="0" t="0" r="0" b="0"/>
                  <wp:docPr id="1062"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6F"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First Steps</w:t>
            </w:r>
          </w:p>
          <w:p w14:paraId="0DAA4F70" w14:textId="77777777" w:rsidR="00645437" w:rsidRDefault="00645437">
            <w:pPr>
              <w:tabs>
                <w:tab w:val="left" w:pos="7290"/>
              </w:tabs>
              <w:rPr>
                <w:rFonts w:ascii="Calibri" w:eastAsia="Calibri" w:hAnsi="Calibri" w:cs="Calibri"/>
                <w:sz w:val="20"/>
                <w:szCs w:val="20"/>
              </w:rPr>
            </w:pPr>
          </w:p>
        </w:tc>
      </w:tr>
      <w:tr w:rsidR="00645437" w14:paraId="0DAA4F84" w14:textId="77777777">
        <w:tc>
          <w:tcPr>
            <w:tcW w:w="990" w:type="dxa"/>
            <w:tcBorders>
              <w:top w:val="single" w:sz="4" w:space="0" w:color="000000"/>
              <w:left w:val="single" w:sz="4" w:space="0" w:color="000000"/>
              <w:bottom w:val="single" w:sz="4" w:space="0" w:color="000000"/>
              <w:right w:val="single" w:sz="4" w:space="0" w:color="000000"/>
            </w:tcBorders>
          </w:tcPr>
          <w:p w14:paraId="0DAA4F72" w14:textId="77777777" w:rsidR="00645437" w:rsidRDefault="00F16D00">
            <w:pPr>
              <w:tabs>
                <w:tab w:val="left" w:pos="7290"/>
              </w:tabs>
              <w:jc w:val="center"/>
              <w:rPr>
                <w:rFonts w:ascii="Calibri" w:eastAsia="Calibri" w:hAnsi="Calibri" w:cs="Calibri"/>
                <w:b/>
              </w:rPr>
            </w:pPr>
            <w:r>
              <w:rPr>
                <w:rFonts w:ascii="Calibri" w:eastAsia="Calibri" w:hAnsi="Calibri" w:cs="Calibri"/>
                <w:b/>
              </w:rPr>
              <w:t>2 min</w:t>
            </w:r>
          </w:p>
        </w:tc>
        <w:tc>
          <w:tcPr>
            <w:tcW w:w="6570" w:type="dxa"/>
            <w:tcBorders>
              <w:top w:val="single" w:sz="4" w:space="0" w:color="000000"/>
              <w:left w:val="single" w:sz="4" w:space="0" w:color="000000"/>
              <w:bottom w:val="single" w:sz="4" w:space="0" w:color="000000"/>
              <w:right w:val="single" w:sz="4" w:space="0" w:color="000000"/>
            </w:tcBorders>
          </w:tcPr>
          <w:p w14:paraId="0DAA4F73"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3: Clothing Collection</w:t>
            </w:r>
          </w:p>
          <w:p w14:paraId="0DAA4F74"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D2" wp14:editId="0DAA50D3">
                  <wp:extent cx="2807208" cy="2103120"/>
                  <wp:effectExtent l="38100" t="38100" r="38100" b="38100"/>
                  <wp:docPr id="10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75"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lastRenderedPageBreak/>
              <w:t xml:space="preserve">A head-to-toe assessment is completed on all exposed areas of the body to get as much evidence as possible prior to having the victim disrobe. All injuries are documented: </w:t>
            </w:r>
          </w:p>
          <w:p w14:paraId="0DAA4F76" w14:textId="77777777" w:rsidR="00645437" w:rsidRDefault="00F16D00">
            <w:pPr>
              <w:numPr>
                <w:ilvl w:val="0"/>
                <w:numId w:val="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Type (such as bruises, lacerations/cuts, abrasions, scratches, etc.)</w:t>
            </w:r>
          </w:p>
          <w:p w14:paraId="0DAA4F77" w14:textId="77777777" w:rsidR="00645437" w:rsidRDefault="00F16D00">
            <w:pPr>
              <w:numPr>
                <w:ilvl w:val="0"/>
                <w:numId w:val="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Location </w:t>
            </w:r>
          </w:p>
          <w:p w14:paraId="0DAA4F78" w14:textId="77777777" w:rsidR="00645437" w:rsidRDefault="00F16D00">
            <w:pPr>
              <w:numPr>
                <w:ilvl w:val="0"/>
                <w:numId w:val="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Size (measurement of injury in length &amp; width) and color </w:t>
            </w:r>
          </w:p>
          <w:p w14:paraId="0DAA4F79" w14:textId="77777777" w:rsidR="00645437" w:rsidRDefault="00F16D00">
            <w:pPr>
              <w:numPr>
                <w:ilvl w:val="0"/>
                <w:numId w:val="6"/>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A collection of any foreign debris/object not normally found on the body (such as: grass, twigs, sand, dirt) </w:t>
            </w:r>
          </w:p>
          <w:p w14:paraId="0DAA4F7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Once the head-to-toe assessment is completed and any evidence found has been collected: </w:t>
            </w:r>
          </w:p>
          <w:p w14:paraId="0DAA4F7B" w14:textId="77777777" w:rsidR="00645437" w:rsidRDefault="00F16D00">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The victim is asked to stand on a paper sheet provided in the kit and to disrobe. </w:t>
            </w:r>
          </w:p>
          <w:p w14:paraId="0DAA4F7C" w14:textId="77777777" w:rsidR="00645437" w:rsidRDefault="00F16D00">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Clothing is removed and placed upon the paper sheet. </w:t>
            </w:r>
          </w:p>
          <w:p w14:paraId="0DAA4F7D" w14:textId="77777777" w:rsidR="00645437" w:rsidRDefault="00F16D00">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Once undressed, the victim is provided a sheet and assisted onto the exam table and/or chair. </w:t>
            </w:r>
          </w:p>
          <w:p w14:paraId="0DAA4F7E" w14:textId="77777777" w:rsidR="00645437" w:rsidRDefault="00F16D00">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 xml:space="preserve">The clothing is examined for any tears, stains, or blood. If any are found, they are marked appropriately. </w:t>
            </w:r>
          </w:p>
          <w:p w14:paraId="0DAA4F7F" w14:textId="77777777" w:rsidR="00645437" w:rsidRDefault="00F16D00">
            <w:pPr>
              <w:numPr>
                <w:ilvl w:val="0"/>
                <w:numId w:val="8"/>
              </w:numPr>
              <w:pBdr>
                <w:top w:val="nil"/>
                <w:left w:val="nil"/>
                <w:bottom w:val="nil"/>
                <w:right w:val="nil"/>
                <w:between w:val="nil"/>
              </w:pBdr>
              <w:tabs>
                <w:tab w:val="left" w:pos="7290"/>
              </w:tabs>
              <w:spacing w:line="276" w:lineRule="auto"/>
              <w:rPr>
                <w:rFonts w:ascii="Calibri" w:eastAsia="Calibri" w:hAnsi="Calibri" w:cs="Calibri"/>
                <w:color w:val="000000"/>
              </w:rPr>
            </w:pPr>
            <w:r>
              <w:rPr>
                <w:rFonts w:ascii="Calibri" w:eastAsia="Calibri" w:hAnsi="Calibri" w:cs="Calibri"/>
                <w:color w:val="000000"/>
              </w:rPr>
              <w:t>Each article is bagged separately in paper bags and labeled with identifiers, along with the date and time of examination/collection.</w:t>
            </w:r>
          </w:p>
          <w:p w14:paraId="0DAA4F80" w14:textId="77777777" w:rsidR="00645437" w:rsidRDefault="00645437">
            <w:pPr>
              <w:tabs>
                <w:tab w:val="left" w:pos="7290"/>
              </w:tabs>
              <w:spacing w:line="276" w:lineRule="auto"/>
              <w:rPr>
                <w:rFonts w:ascii="Calibri" w:eastAsia="Calibri" w:hAnsi="Calibri" w:cs="Calibri"/>
              </w:rPr>
            </w:pPr>
          </w:p>
          <w:p w14:paraId="0DAA4F81"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Facilities should be aware that the victim’s clothing will be collected as </w:t>
            </w:r>
            <w:proofErr w:type="gramStart"/>
            <w:r>
              <w:rPr>
                <w:rFonts w:ascii="Calibri" w:eastAsia="Calibri" w:hAnsi="Calibri" w:cs="Calibri"/>
              </w:rPr>
              <w:t>evidence, and</w:t>
            </w:r>
            <w:proofErr w:type="gramEnd"/>
            <w:r>
              <w:rPr>
                <w:rFonts w:ascii="Calibri" w:eastAsia="Calibri" w:hAnsi="Calibri" w:cs="Calibri"/>
              </w:rPr>
              <w:t xml:space="preserve"> bring a change of clothing with the victim to replace the collected clothing.</w:t>
            </w:r>
          </w:p>
        </w:tc>
        <w:tc>
          <w:tcPr>
            <w:tcW w:w="1800" w:type="dxa"/>
            <w:tcBorders>
              <w:top w:val="single" w:sz="4" w:space="0" w:color="000000"/>
              <w:left w:val="single" w:sz="4" w:space="0" w:color="000000"/>
              <w:bottom w:val="single" w:sz="4" w:space="0" w:color="000000"/>
              <w:right w:val="single" w:sz="4" w:space="0" w:color="000000"/>
            </w:tcBorders>
          </w:tcPr>
          <w:p w14:paraId="0DAA4F82"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D4" wp14:editId="0DAA50D5">
                  <wp:extent cx="438150" cy="298450"/>
                  <wp:effectExtent l="0" t="0" r="0" b="0"/>
                  <wp:docPr id="106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83"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3</w:t>
            </w:r>
          </w:p>
        </w:tc>
      </w:tr>
      <w:tr w:rsidR="00645437" w14:paraId="0DAA4F8A" w14:textId="77777777">
        <w:tc>
          <w:tcPr>
            <w:tcW w:w="990" w:type="dxa"/>
            <w:tcBorders>
              <w:top w:val="single" w:sz="4" w:space="0" w:color="000000"/>
              <w:left w:val="single" w:sz="4" w:space="0" w:color="000000"/>
              <w:bottom w:val="single" w:sz="4" w:space="0" w:color="000000"/>
              <w:right w:val="single" w:sz="4" w:space="0" w:color="000000"/>
            </w:tcBorders>
          </w:tcPr>
          <w:p w14:paraId="0DAA4F85"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8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4: Debris Collection</w:t>
            </w:r>
          </w:p>
          <w:p w14:paraId="0DAA4F8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D6" wp14:editId="0DAA50D7">
                  <wp:extent cx="2798064" cy="2103120"/>
                  <wp:effectExtent l="38100" t="38100" r="38100" b="38100"/>
                  <wp:docPr id="10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2798064" cy="2103120"/>
                          </a:xfrm>
                          <a:prstGeom prst="rect">
                            <a:avLst/>
                          </a:prstGeom>
                          <a:ln w="38100">
                            <a:solidFill>
                              <a:srgbClr val="000000"/>
                            </a:solidFill>
                            <a:prstDash val="solid"/>
                          </a:ln>
                        </pic:spPr>
                      </pic:pic>
                    </a:graphicData>
                  </a:graphic>
                </wp:inline>
              </w:drawing>
            </w:r>
          </w:p>
          <w:p w14:paraId="0DAA4F8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Once the victim has disrobed, any foreign objects that are found on the body during the examination will be placed in this </w:t>
            </w:r>
            <w:r>
              <w:rPr>
                <w:rFonts w:ascii="Calibri" w:eastAsia="Calibri" w:hAnsi="Calibri" w:cs="Calibri"/>
              </w:rPr>
              <w:lastRenderedPageBreak/>
              <w:t>envelope. If fingernail scrapings and clippings are obtained, each hand is done separately and labeled accordingly.</w:t>
            </w:r>
          </w:p>
        </w:tc>
        <w:tc>
          <w:tcPr>
            <w:tcW w:w="1800" w:type="dxa"/>
            <w:tcBorders>
              <w:top w:val="single" w:sz="4" w:space="0" w:color="000000"/>
              <w:left w:val="single" w:sz="4" w:space="0" w:color="000000"/>
              <w:bottom w:val="single" w:sz="4" w:space="0" w:color="000000"/>
              <w:right w:val="single" w:sz="4" w:space="0" w:color="000000"/>
            </w:tcBorders>
          </w:tcPr>
          <w:p w14:paraId="0DAA4F89"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D8" wp14:editId="0DAA50D9">
                  <wp:extent cx="438150" cy="298450"/>
                  <wp:effectExtent l="0" t="0" r="0" b="0"/>
                  <wp:docPr id="1066"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b/>
                <w:sz w:val="20"/>
                <w:szCs w:val="20"/>
              </w:rPr>
              <w:t>Step 4</w:t>
            </w:r>
          </w:p>
        </w:tc>
      </w:tr>
      <w:tr w:rsidR="00645437" w14:paraId="0DAA4F92" w14:textId="77777777">
        <w:tc>
          <w:tcPr>
            <w:tcW w:w="990" w:type="dxa"/>
            <w:tcBorders>
              <w:top w:val="single" w:sz="4" w:space="0" w:color="000000"/>
              <w:left w:val="single" w:sz="4" w:space="0" w:color="000000"/>
              <w:bottom w:val="single" w:sz="4" w:space="0" w:color="000000"/>
              <w:right w:val="single" w:sz="4" w:space="0" w:color="000000"/>
            </w:tcBorders>
          </w:tcPr>
          <w:p w14:paraId="0DAA4F8B"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8C"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5: Oral Swabs &amp; Smears</w:t>
            </w:r>
          </w:p>
          <w:p w14:paraId="0DAA4F8D"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DA" wp14:editId="0DAA50DB">
                  <wp:extent cx="2807208" cy="2103120"/>
                  <wp:effectExtent l="38100" t="38100" r="38100" b="38100"/>
                  <wp:docPr id="106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8E" w14:textId="77777777" w:rsidR="00645437" w:rsidRDefault="00645437">
            <w:pPr>
              <w:tabs>
                <w:tab w:val="left" w:pos="7290"/>
              </w:tabs>
              <w:spacing w:line="276" w:lineRule="auto"/>
              <w:jc w:val="center"/>
              <w:rPr>
                <w:rFonts w:ascii="Calibri" w:eastAsia="Calibri" w:hAnsi="Calibri" w:cs="Calibri"/>
                <w:b/>
              </w:rPr>
            </w:pPr>
          </w:p>
          <w:p w14:paraId="0DAA4F8F"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After oral inspection and documentation of injuries, swabs are obtained for DNA and ACP (prostatic acid phosphatase, which is found naturally in both men and women – with higher concentration found in semen). Swabs are done by briskly rubbing the inside of both cheeks (buccal area) for several seconds. Then a smear is made on the glass slide for microscopic examination. Oral swabs can be just as important as vaginal or rectal swabs. </w:t>
            </w:r>
          </w:p>
        </w:tc>
        <w:tc>
          <w:tcPr>
            <w:tcW w:w="1800" w:type="dxa"/>
            <w:tcBorders>
              <w:top w:val="single" w:sz="4" w:space="0" w:color="000000"/>
              <w:left w:val="single" w:sz="4" w:space="0" w:color="000000"/>
              <w:bottom w:val="single" w:sz="4" w:space="0" w:color="000000"/>
              <w:right w:val="single" w:sz="4" w:space="0" w:color="000000"/>
            </w:tcBorders>
          </w:tcPr>
          <w:p w14:paraId="0DAA4F90"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DC" wp14:editId="0DAA50DD">
                  <wp:extent cx="438150" cy="298450"/>
                  <wp:effectExtent l="0" t="0" r="0" b="0"/>
                  <wp:docPr id="1068"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91"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5</w:t>
            </w:r>
          </w:p>
        </w:tc>
      </w:tr>
      <w:tr w:rsidR="00645437" w14:paraId="0DAA4F9C" w14:textId="77777777">
        <w:tc>
          <w:tcPr>
            <w:tcW w:w="990" w:type="dxa"/>
            <w:tcBorders>
              <w:top w:val="single" w:sz="4" w:space="0" w:color="000000"/>
              <w:left w:val="single" w:sz="4" w:space="0" w:color="000000"/>
              <w:bottom w:val="single" w:sz="4" w:space="0" w:color="000000"/>
              <w:right w:val="single" w:sz="4" w:space="0" w:color="000000"/>
            </w:tcBorders>
          </w:tcPr>
          <w:p w14:paraId="0DAA4F93"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94"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6A: Vaginal Swabs &amp; Smears</w:t>
            </w:r>
          </w:p>
          <w:p w14:paraId="0DAA4F95"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6B: Penile Swabs and Smears</w:t>
            </w:r>
          </w:p>
          <w:p w14:paraId="0DAA4F9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DE" wp14:editId="0DAA50DF">
                  <wp:extent cx="2807208" cy="2103120"/>
                  <wp:effectExtent l="38100" t="38100" r="38100" b="38100"/>
                  <wp:docPr id="106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97"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 detailed genital trauma assessment is performed. Inspection of the genitalia prior to collection of evidence is of utmost </w:t>
            </w:r>
            <w:r>
              <w:rPr>
                <w:rFonts w:ascii="Calibri" w:eastAsia="Calibri" w:hAnsi="Calibri" w:cs="Calibri"/>
              </w:rPr>
              <w:lastRenderedPageBreak/>
              <w:t xml:space="preserve">importance </w:t>
            </w:r>
            <w:proofErr w:type="gramStart"/>
            <w:r>
              <w:rPr>
                <w:rFonts w:ascii="Calibri" w:eastAsia="Calibri" w:hAnsi="Calibri" w:cs="Calibri"/>
              </w:rPr>
              <w:t>in order to</w:t>
            </w:r>
            <w:proofErr w:type="gramEnd"/>
            <w:r>
              <w:rPr>
                <w:rFonts w:ascii="Calibri" w:eastAsia="Calibri" w:hAnsi="Calibri" w:cs="Calibri"/>
              </w:rPr>
              <w:t xml:space="preserve"> note any injuries and to document all findings on the appropriate diagram. </w:t>
            </w:r>
          </w:p>
          <w:p w14:paraId="0DAA4F98" w14:textId="77777777" w:rsidR="00645437" w:rsidRDefault="00645437">
            <w:pPr>
              <w:tabs>
                <w:tab w:val="left" w:pos="7290"/>
              </w:tabs>
              <w:spacing w:line="276" w:lineRule="auto"/>
              <w:rPr>
                <w:rFonts w:ascii="Calibri" w:eastAsia="Calibri" w:hAnsi="Calibri" w:cs="Calibri"/>
              </w:rPr>
            </w:pPr>
          </w:p>
          <w:p w14:paraId="0DAA4F99"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For the male victim, the presence of saliva on the penis could indicate that oral-genital contact was made; feces or lubricant (such as saliva, grease, oil, etc.) may be found if rectal penetration occurred.</w:t>
            </w:r>
          </w:p>
        </w:tc>
        <w:tc>
          <w:tcPr>
            <w:tcW w:w="1800" w:type="dxa"/>
            <w:tcBorders>
              <w:top w:val="single" w:sz="4" w:space="0" w:color="000000"/>
              <w:left w:val="single" w:sz="4" w:space="0" w:color="000000"/>
              <w:bottom w:val="single" w:sz="4" w:space="0" w:color="000000"/>
              <w:right w:val="single" w:sz="4" w:space="0" w:color="000000"/>
            </w:tcBorders>
          </w:tcPr>
          <w:p w14:paraId="0DAA4F9A"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E0" wp14:editId="0DAA50E1">
                  <wp:extent cx="438150" cy="298450"/>
                  <wp:effectExtent l="0" t="0" r="0" b="0"/>
                  <wp:docPr id="107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9B"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6</w:t>
            </w:r>
          </w:p>
        </w:tc>
      </w:tr>
      <w:tr w:rsidR="00645437" w14:paraId="0DAA4FA3" w14:textId="77777777">
        <w:tc>
          <w:tcPr>
            <w:tcW w:w="990" w:type="dxa"/>
            <w:tcBorders>
              <w:top w:val="single" w:sz="4" w:space="0" w:color="000000"/>
              <w:left w:val="single" w:sz="4" w:space="0" w:color="000000"/>
              <w:bottom w:val="single" w:sz="4" w:space="0" w:color="000000"/>
              <w:right w:val="single" w:sz="4" w:space="0" w:color="000000"/>
            </w:tcBorders>
          </w:tcPr>
          <w:p w14:paraId="0DAA4F9D"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9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7: Rectal Swab &amp; Smear</w:t>
            </w:r>
          </w:p>
          <w:p w14:paraId="0DAA4F9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E2" wp14:editId="0DAA50E3">
                  <wp:extent cx="2807208" cy="2103120"/>
                  <wp:effectExtent l="38100" t="38100" r="38100" b="38100"/>
                  <wp:docPr id="10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A0" w14:textId="77777777" w:rsidR="00645437" w:rsidRDefault="00F16D00">
            <w:pPr>
              <w:tabs>
                <w:tab w:val="left" w:pos="7290"/>
              </w:tabs>
              <w:spacing w:line="276" w:lineRule="auto"/>
              <w:rPr>
                <w:rFonts w:ascii="Calibri" w:eastAsia="Calibri" w:hAnsi="Calibri" w:cs="Calibri"/>
              </w:rPr>
            </w:pPr>
            <w:proofErr w:type="gramStart"/>
            <w:r>
              <w:rPr>
                <w:rFonts w:ascii="Calibri" w:eastAsia="Calibri" w:hAnsi="Calibri" w:cs="Calibri"/>
              </w:rPr>
              <w:t>Any and all</w:t>
            </w:r>
            <w:proofErr w:type="gramEnd"/>
            <w:r>
              <w:rPr>
                <w:rFonts w:ascii="Calibri" w:eastAsia="Calibri" w:hAnsi="Calibri" w:cs="Calibri"/>
              </w:rPr>
              <w:t xml:space="preserve"> injuries are noted. Any tears, bruising, etc., color, measurement in centimeters, and location are documented. Swabs are obtained from around and in the anal opening, and a smear is made on the glass slide. </w:t>
            </w:r>
          </w:p>
        </w:tc>
        <w:tc>
          <w:tcPr>
            <w:tcW w:w="1800" w:type="dxa"/>
            <w:tcBorders>
              <w:top w:val="single" w:sz="4" w:space="0" w:color="000000"/>
              <w:left w:val="single" w:sz="4" w:space="0" w:color="000000"/>
              <w:bottom w:val="single" w:sz="4" w:space="0" w:color="000000"/>
              <w:right w:val="single" w:sz="4" w:space="0" w:color="000000"/>
            </w:tcBorders>
          </w:tcPr>
          <w:p w14:paraId="0DAA4FA1"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E4" wp14:editId="0DAA50E5">
                  <wp:extent cx="438150" cy="298450"/>
                  <wp:effectExtent l="0" t="0" r="0" b="0"/>
                  <wp:docPr id="1051"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A2"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7</w:t>
            </w:r>
          </w:p>
        </w:tc>
      </w:tr>
      <w:tr w:rsidR="00645437" w14:paraId="0DAA4FAC" w14:textId="77777777">
        <w:tc>
          <w:tcPr>
            <w:tcW w:w="990" w:type="dxa"/>
            <w:tcBorders>
              <w:top w:val="single" w:sz="4" w:space="0" w:color="000000"/>
              <w:left w:val="single" w:sz="4" w:space="0" w:color="000000"/>
              <w:bottom w:val="single" w:sz="4" w:space="0" w:color="000000"/>
              <w:right w:val="single" w:sz="4" w:space="0" w:color="000000"/>
            </w:tcBorders>
          </w:tcPr>
          <w:p w14:paraId="0DAA4FA4"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A5"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8: Head Hair Combings</w:t>
            </w:r>
          </w:p>
          <w:p w14:paraId="0DAA4FA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E6" wp14:editId="0DAA50E7">
                  <wp:extent cx="2788920" cy="2103120"/>
                  <wp:effectExtent l="38100" t="38100" r="38100" b="38100"/>
                  <wp:docPr id="10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2788920" cy="2103120"/>
                          </a:xfrm>
                          <a:prstGeom prst="rect">
                            <a:avLst/>
                          </a:prstGeom>
                          <a:ln w="38100">
                            <a:solidFill>
                              <a:srgbClr val="000000"/>
                            </a:solidFill>
                            <a:prstDash val="solid"/>
                          </a:ln>
                        </pic:spPr>
                      </pic:pic>
                    </a:graphicData>
                  </a:graphic>
                </wp:inline>
              </w:drawing>
            </w:r>
          </w:p>
          <w:p w14:paraId="0DAA4FA7"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During sexual abuse, hairs may be transferred from one individual to the person or clothing of another. These hairs can be microscopically compared to known hair samples from both the victim and suspect to determine the origin.</w:t>
            </w:r>
          </w:p>
          <w:p w14:paraId="0DAA4FA8" w14:textId="77777777" w:rsidR="00645437" w:rsidRDefault="00645437">
            <w:pPr>
              <w:tabs>
                <w:tab w:val="left" w:pos="7290"/>
              </w:tabs>
              <w:spacing w:line="276" w:lineRule="auto"/>
              <w:rPr>
                <w:rFonts w:ascii="Calibri" w:eastAsia="Calibri" w:hAnsi="Calibri" w:cs="Calibri"/>
              </w:rPr>
            </w:pPr>
          </w:p>
          <w:p w14:paraId="0DAA4FA9"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Head and pubic hair are the only hairs on the body that have enough individual characteristics for analysis. Delaying the collection of hair samples of the victim may adversely affect comparisons. </w:t>
            </w:r>
          </w:p>
        </w:tc>
        <w:tc>
          <w:tcPr>
            <w:tcW w:w="1800" w:type="dxa"/>
            <w:tcBorders>
              <w:top w:val="single" w:sz="4" w:space="0" w:color="000000"/>
              <w:left w:val="single" w:sz="4" w:space="0" w:color="000000"/>
              <w:bottom w:val="single" w:sz="4" w:space="0" w:color="000000"/>
              <w:right w:val="single" w:sz="4" w:space="0" w:color="000000"/>
            </w:tcBorders>
          </w:tcPr>
          <w:p w14:paraId="0DAA4FAA"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0E8" wp14:editId="0DAA50E9">
                  <wp:extent cx="438150" cy="298450"/>
                  <wp:effectExtent l="0" t="0" r="0" b="0"/>
                  <wp:docPr id="1053"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AB"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8</w:t>
            </w:r>
          </w:p>
        </w:tc>
      </w:tr>
      <w:tr w:rsidR="00645437" w14:paraId="0DAA4FB3" w14:textId="77777777">
        <w:tc>
          <w:tcPr>
            <w:tcW w:w="990" w:type="dxa"/>
            <w:tcBorders>
              <w:top w:val="single" w:sz="4" w:space="0" w:color="000000"/>
              <w:left w:val="single" w:sz="4" w:space="0" w:color="000000"/>
              <w:bottom w:val="single" w:sz="4" w:space="0" w:color="000000"/>
              <w:right w:val="single" w:sz="4" w:space="0" w:color="000000"/>
            </w:tcBorders>
          </w:tcPr>
          <w:p w14:paraId="0DAA4FAD"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A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9: Pulled Head Hairs</w:t>
            </w:r>
          </w:p>
          <w:p w14:paraId="0DAA4FA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EA" wp14:editId="0DAA50EB">
                  <wp:extent cx="2798064" cy="2103120"/>
                  <wp:effectExtent l="38100" t="38100" r="38100" b="38100"/>
                  <wp:docPr id="10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2798064" cy="2103120"/>
                          </a:xfrm>
                          <a:prstGeom prst="rect">
                            <a:avLst/>
                          </a:prstGeom>
                          <a:ln w="38100">
                            <a:solidFill>
                              <a:srgbClr val="000000"/>
                            </a:solidFill>
                            <a:prstDash val="solid"/>
                          </a:ln>
                        </pic:spPr>
                      </pic:pic>
                    </a:graphicData>
                  </a:graphic>
                </wp:inline>
              </w:drawing>
            </w:r>
          </w:p>
          <w:p w14:paraId="0DAA4FB0"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Although DNA is much more reliable from good buccal swabs, pulled hair is still recommended for hair comparisons. Cuttings of hair without the root are of little forensic use. </w:t>
            </w:r>
            <w:proofErr w:type="gramStart"/>
            <w:r>
              <w:rPr>
                <w:rFonts w:ascii="Calibri" w:eastAsia="Calibri" w:hAnsi="Calibri" w:cs="Calibri"/>
              </w:rPr>
              <w:t>At this time</w:t>
            </w:r>
            <w:proofErr w:type="gramEnd"/>
            <w:r>
              <w:rPr>
                <w:rFonts w:ascii="Calibri" w:eastAsia="Calibri" w:hAnsi="Calibri" w:cs="Calibri"/>
              </w:rPr>
              <w:t xml:space="preserve"> forensic examiners typically comb for foreign hairs and pull known hairs from the victim to provide the best samples for comparative studies.</w:t>
            </w:r>
          </w:p>
        </w:tc>
        <w:tc>
          <w:tcPr>
            <w:tcW w:w="1800" w:type="dxa"/>
            <w:tcBorders>
              <w:top w:val="single" w:sz="4" w:space="0" w:color="000000"/>
              <w:left w:val="single" w:sz="4" w:space="0" w:color="000000"/>
              <w:bottom w:val="single" w:sz="4" w:space="0" w:color="000000"/>
              <w:right w:val="single" w:sz="4" w:space="0" w:color="000000"/>
            </w:tcBorders>
          </w:tcPr>
          <w:p w14:paraId="0DAA4FB1" w14:textId="77777777" w:rsidR="00645437" w:rsidRDefault="00F16D00">
            <w:pPr>
              <w:tabs>
                <w:tab w:val="left" w:pos="7290"/>
              </w:tabs>
              <w:spacing w:after="280"/>
              <w:rPr>
                <w:rFonts w:ascii="Calibri" w:eastAsia="Calibri" w:hAnsi="Calibri" w:cs="Calibri"/>
                <w:sz w:val="20"/>
                <w:szCs w:val="20"/>
              </w:rPr>
            </w:pPr>
            <w:r>
              <w:rPr>
                <w:rFonts w:ascii="Calibri" w:eastAsia="Calibri" w:hAnsi="Calibri" w:cs="Calibri"/>
                <w:noProof/>
                <w:sz w:val="20"/>
                <w:szCs w:val="20"/>
              </w:rPr>
              <w:drawing>
                <wp:inline distT="0" distB="0" distL="0" distR="0" wp14:anchorId="0DAA50EC" wp14:editId="0DAA50ED">
                  <wp:extent cx="438150" cy="298450"/>
                  <wp:effectExtent l="0" t="0" r="0" b="0"/>
                  <wp:docPr id="1055"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B2"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9</w:t>
            </w:r>
          </w:p>
        </w:tc>
      </w:tr>
      <w:tr w:rsidR="00645437" w14:paraId="0DAA4FBB" w14:textId="77777777">
        <w:tc>
          <w:tcPr>
            <w:tcW w:w="990" w:type="dxa"/>
            <w:tcBorders>
              <w:top w:val="single" w:sz="4" w:space="0" w:color="000000"/>
              <w:left w:val="single" w:sz="4" w:space="0" w:color="000000"/>
              <w:bottom w:val="single" w:sz="4" w:space="0" w:color="000000"/>
              <w:right w:val="single" w:sz="4" w:space="0" w:color="000000"/>
            </w:tcBorders>
          </w:tcPr>
          <w:p w14:paraId="0DAA4FB4"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B5"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 xml:space="preserve">Step 10: </w:t>
            </w:r>
            <w:proofErr w:type="gramStart"/>
            <w:r>
              <w:rPr>
                <w:rFonts w:ascii="Calibri" w:eastAsia="Calibri" w:hAnsi="Calibri" w:cs="Calibri"/>
                <w:b/>
              </w:rPr>
              <w:t>Pubic</w:t>
            </w:r>
            <w:proofErr w:type="gramEnd"/>
            <w:r>
              <w:rPr>
                <w:rFonts w:ascii="Calibri" w:eastAsia="Calibri" w:hAnsi="Calibri" w:cs="Calibri"/>
                <w:b/>
              </w:rPr>
              <w:t xml:space="preserve"> Hair Combings</w:t>
            </w:r>
          </w:p>
          <w:p w14:paraId="0DAA4FB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 xml:space="preserve">Step 11: Pulled </w:t>
            </w:r>
            <w:proofErr w:type="gramStart"/>
            <w:r>
              <w:rPr>
                <w:rFonts w:ascii="Calibri" w:eastAsia="Calibri" w:hAnsi="Calibri" w:cs="Calibri"/>
                <w:b/>
              </w:rPr>
              <w:t>Pubic</w:t>
            </w:r>
            <w:proofErr w:type="gramEnd"/>
            <w:r>
              <w:rPr>
                <w:rFonts w:ascii="Calibri" w:eastAsia="Calibri" w:hAnsi="Calibri" w:cs="Calibri"/>
                <w:b/>
              </w:rPr>
              <w:t xml:space="preserve"> Hair</w:t>
            </w:r>
          </w:p>
          <w:p w14:paraId="0DAA4FB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EE" wp14:editId="0DAA50EF">
                  <wp:extent cx="2807208" cy="2103120"/>
                  <wp:effectExtent l="38100" t="38100" r="38100" b="38100"/>
                  <wp:docPr id="10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B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Biological evidence (such as: blood, semen, saliva) may be found in the matted hair.</w:t>
            </w:r>
          </w:p>
        </w:tc>
        <w:tc>
          <w:tcPr>
            <w:tcW w:w="1800" w:type="dxa"/>
            <w:tcBorders>
              <w:top w:val="single" w:sz="4" w:space="0" w:color="000000"/>
              <w:left w:val="single" w:sz="4" w:space="0" w:color="000000"/>
              <w:bottom w:val="single" w:sz="4" w:space="0" w:color="000000"/>
              <w:right w:val="single" w:sz="4" w:space="0" w:color="000000"/>
            </w:tcBorders>
          </w:tcPr>
          <w:p w14:paraId="0DAA4FB9"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F0" wp14:editId="0DAA50F1">
                  <wp:extent cx="438150" cy="298450"/>
                  <wp:effectExtent l="0" t="0" r="0" b="0"/>
                  <wp:docPr id="1057"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BA"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10, Step 11</w:t>
            </w:r>
          </w:p>
        </w:tc>
      </w:tr>
    </w:tbl>
    <w:p w14:paraId="0DAA4FBC" w14:textId="77777777" w:rsidR="00645437" w:rsidRDefault="00F16D00">
      <w:r>
        <w:br w:type="page"/>
      </w:r>
    </w:p>
    <w:tbl>
      <w:tblPr>
        <w:tblStyle w:val="a8"/>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FC4" w14:textId="77777777">
        <w:tc>
          <w:tcPr>
            <w:tcW w:w="990" w:type="dxa"/>
            <w:tcBorders>
              <w:top w:val="single" w:sz="4" w:space="0" w:color="000000"/>
              <w:left w:val="single" w:sz="4" w:space="0" w:color="000000"/>
              <w:bottom w:val="single" w:sz="4" w:space="0" w:color="000000"/>
              <w:right w:val="single" w:sz="4" w:space="0" w:color="000000"/>
            </w:tcBorders>
          </w:tcPr>
          <w:p w14:paraId="0DAA4FBD"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4FB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12: Blood Sample</w:t>
            </w:r>
          </w:p>
          <w:p w14:paraId="0DAA4FB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Step 13: Saliva Sample</w:t>
            </w:r>
          </w:p>
          <w:p w14:paraId="0DAA4FC0"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F2" wp14:editId="0DAA50F3">
                  <wp:extent cx="2798064" cy="2103120"/>
                  <wp:effectExtent l="38100" t="38100" r="38100" b="38100"/>
                  <wp:docPr id="10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2798064" cy="2103120"/>
                          </a:xfrm>
                          <a:prstGeom prst="rect">
                            <a:avLst/>
                          </a:prstGeom>
                          <a:ln w="38100">
                            <a:solidFill>
                              <a:srgbClr val="000000"/>
                            </a:solidFill>
                            <a:prstDash val="solid"/>
                          </a:ln>
                        </pic:spPr>
                      </pic:pic>
                    </a:graphicData>
                  </a:graphic>
                </wp:inline>
              </w:drawing>
            </w:r>
          </w:p>
          <w:p w14:paraId="0DAA4FC1"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Saliva can also be used for ABO blood typing of the attacker. About 80% of individuals can be genetically typed from this marker.</w:t>
            </w:r>
          </w:p>
        </w:tc>
        <w:tc>
          <w:tcPr>
            <w:tcW w:w="1800" w:type="dxa"/>
            <w:tcBorders>
              <w:top w:val="single" w:sz="4" w:space="0" w:color="000000"/>
              <w:left w:val="single" w:sz="4" w:space="0" w:color="000000"/>
              <w:bottom w:val="single" w:sz="4" w:space="0" w:color="000000"/>
              <w:right w:val="single" w:sz="4" w:space="0" w:color="000000"/>
            </w:tcBorders>
          </w:tcPr>
          <w:p w14:paraId="0DAA4FC2"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F4" wp14:editId="0DAA50F5">
                  <wp:extent cx="438150" cy="298450"/>
                  <wp:effectExtent l="0" t="0" r="0" b="0"/>
                  <wp:docPr id="1059"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C3"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Step 12, Step 13</w:t>
            </w:r>
          </w:p>
        </w:tc>
      </w:tr>
      <w:tr w:rsidR="00645437" w14:paraId="0DAA4FCD" w14:textId="77777777">
        <w:tc>
          <w:tcPr>
            <w:tcW w:w="990" w:type="dxa"/>
            <w:tcBorders>
              <w:top w:val="single" w:sz="4" w:space="0" w:color="000000"/>
              <w:left w:val="single" w:sz="4" w:space="0" w:color="000000"/>
              <w:bottom w:val="single" w:sz="4" w:space="0" w:color="000000"/>
              <w:right w:val="single" w:sz="4" w:space="0" w:color="000000"/>
            </w:tcBorders>
          </w:tcPr>
          <w:p w14:paraId="0DAA4FC5"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C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Final Steps</w:t>
            </w:r>
          </w:p>
          <w:p w14:paraId="0DAA4FC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F6" wp14:editId="0DAA50F7">
                  <wp:extent cx="2816352" cy="2103120"/>
                  <wp:effectExtent l="38100" t="38100" r="38100" b="38100"/>
                  <wp:docPr id="10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2816352" cy="2103120"/>
                          </a:xfrm>
                          <a:prstGeom prst="rect">
                            <a:avLst/>
                          </a:prstGeom>
                          <a:ln w="38100">
                            <a:solidFill>
                              <a:srgbClr val="000000"/>
                            </a:solidFill>
                            <a:prstDash val="solid"/>
                          </a:ln>
                        </pic:spPr>
                      </pic:pic>
                    </a:graphicData>
                  </a:graphic>
                </wp:inline>
              </w:drawing>
            </w:r>
          </w:p>
          <w:p w14:paraId="0DAA4FC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After ensuring that all envelopes, boxes, slides, blood tubes, paper bags, etc. are properly labeled and tape securely, the evidence is placed into the box and the box is sealed. Once sealed, it cannot be reopened. </w:t>
            </w:r>
          </w:p>
          <w:p w14:paraId="0DAA4FC9" w14:textId="77777777" w:rsidR="00645437" w:rsidRDefault="00645437">
            <w:pPr>
              <w:tabs>
                <w:tab w:val="left" w:pos="7290"/>
              </w:tabs>
              <w:spacing w:line="276" w:lineRule="auto"/>
              <w:rPr>
                <w:rFonts w:ascii="Calibri" w:eastAsia="Calibri" w:hAnsi="Calibri" w:cs="Calibri"/>
              </w:rPr>
            </w:pPr>
          </w:p>
          <w:p w14:paraId="0DAA4FC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Tampering with Evidence is a felony! </w:t>
            </w:r>
          </w:p>
        </w:tc>
        <w:tc>
          <w:tcPr>
            <w:tcW w:w="1800" w:type="dxa"/>
            <w:tcBorders>
              <w:top w:val="single" w:sz="4" w:space="0" w:color="000000"/>
              <w:left w:val="single" w:sz="4" w:space="0" w:color="000000"/>
              <w:bottom w:val="single" w:sz="4" w:space="0" w:color="000000"/>
              <w:right w:val="single" w:sz="4" w:space="0" w:color="000000"/>
            </w:tcBorders>
          </w:tcPr>
          <w:p w14:paraId="0DAA4FCB"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F8" wp14:editId="0DAA50F9">
                  <wp:extent cx="438150" cy="298450"/>
                  <wp:effectExtent l="0" t="0" r="0" b="0"/>
                  <wp:docPr id="105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CC"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Final Steps</w:t>
            </w:r>
          </w:p>
        </w:tc>
      </w:tr>
    </w:tbl>
    <w:p w14:paraId="0DAA4FCE" w14:textId="77777777" w:rsidR="00645437" w:rsidRDefault="00F16D00">
      <w:r>
        <w:br w:type="page"/>
      </w:r>
    </w:p>
    <w:tbl>
      <w:tblPr>
        <w:tblStyle w:val="a9"/>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4FDA" w14:textId="77777777">
        <w:tc>
          <w:tcPr>
            <w:tcW w:w="990" w:type="dxa"/>
            <w:tcBorders>
              <w:top w:val="single" w:sz="4" w:space="0" w:color="000000"/>
              <w:left w:val="single" w:sz="4" w:space="0" w:color="000000"/>
              <w:bottom w:val="single" w:sz="4" w:space="0" w:color="000000"/>
              <w:right w:val="single" w:sz="4" w:space="0" w:color="000000"/>
            </w:tcBorders>
          </w:tcPr>
          <w:p w14:paraId="0DAA4FCF"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2 min</w:t>
            </w:r>
          </w:p>
        </w:tc>
        <w:tc>
          <w:tcPr>
            <w:tcW w:w="6570" w:type="dxa"/>
            <w:tcBorders>
              <w:top w:val="single" w:sz="4" w:space="0" w:color="000000"/>
              <w:left w:val="single" w:sz="4" w:space="0" w:color="000000"/>
              <w:bottom w:val="single" w:sz="4" w:space="0" w:color="000000"/>
              <w:right w:val="single" w:sz="4" w:space="0" w:color="000000"/>
            </w:tcBorders>
          </w:tcPr>
          <w:p w14:paraId="0DAA4FD0"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Documentation</w:t>
            </w:r>
          </w:p>
          <w:p w14:paraId="0DAA4FD1"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0FA" wp14:editId="0DAA50FB">
                  <wp:extent cx="2807208" cy="2103120"/>
                  <wp:effectExtent l="38100" t="38100" r="38100" b="38100"/>
                  <wp:docPr id="10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D2"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This page includes the male and female </w:t>
            </w:r>
            <w:proofErr w:type="gramStart"/>
            <w:r>
              <w:rPr>
                <w:rFonts w:ascii="Calibri" w:eastAsia="Calibri" w:hAnsi="Calibri" w:cs="Calibri"/>
              </w:rPr>
              <w:t>anatomy</w:t>
            </w:r>
            <w:proofErr w:type="gramEnd"/>
            <w:r>
              <w:rPr>
                <w:rFonts w:ascii="Calibri" w:eastAsia="Calibri" w:hAnsi="Calibri" w:cs="Calibri"/>
              </w:rPr>
              <w:t xml:space="preserve"> and all injuries should be documented on the appropriate chart. This is the victim’s information sheet. </w:t>
            </w:r>
          </w:p>
          <w:p w14:paraId="0DAA4FD3" w14:textId="77777777" w:rsidR="00645437" w:rsidRDefault="00645437">
            <w:pPr>
              <w:tabs>
                <w:tab w:val="left" w:pos="7290"/>
              </w:tabs>
              <w:spacing w:line="276" w:lineRule="auto"/>
              <w:rPr>
                <w:rFonts w:ascii="Calibri" w:eastAsia="Calibri" w:hAnsi="Calibri" w:cs="Calibri"/>
              </w:rPr>
            </w:pPr>
          </w:p>
          <w:p w14:paraId="0DAA4FD4"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The following are documented on this sheet:</w:t>
            </w:r>
          </w:p>
          <w:p w14:paraId="0DAA4FD5" w14:textId="77777777" w:rsidR="00645437" w:rsidRDefault="00F16D00">
            <w:pPr>
              <w:numPr>
                <w:ilvl w:val="0"/>
                <w:numId w:val="2"/>
              </w:numPr>
              <w:tabs>
                <w:tab w:val="left" w:pos="7290"/>
              </w:tabs>
              <w:spacing w:line="276" w:lineRule="auto"/>
              <w:rPr>
                <w:rFonts w:ascii="Calibri" w:eastAsia="Calibri" w:hAnsi="Calibri" w:cs="Calibri"/>
              </w:rPr>
            </w:pPr>
            <w:r>
              <w:rPr>
                <w:rFonts w:ascii="Calibri" w:eastAsia="Calibri" w:hAnsi="Calibri" w:cs="Calibri"/>
              </w:rPr>
              <w:t>Medications and/or treatment that were given and/or ordered</w:t>
            </w:r>
          </w:p>
          <w:p w14:paraId="0DAA4FD6" w14:textId="77777777" w:rsidR="00645437" w:rsidRDefault="00F16D00">
            <w:pPr>
              <w:numPr>
                <w:ilvl w:val="0"/>
                <w:numId w:val="2"/>
              </w:numPr>
              <w:tabs>
                <w:tab w:val="left" w:pos="7290"/>
              </w:tabs>
              <w:spacing w:line="276" w:lineRule="auto"/>
              <w:rPr>
                <w:rFonts w:ascii="Calibri" w:eastAsia="Calibri" w:hAnsi="Calibri" w:cs="Calibri"/>
              </w:rPr>
            </w:pPr>
            <w:r>
              <w:rPr>
                <w:rFonts w:ascii="Calibri" w:eastAsia="Calibri" w:hAnsi="Calibri" w:cs="Calibri"/>
              </w:rPr>
              <w:t>Tests that were performed, such as lab work and specimen collection for STIs</w:t>
            </w:r>
          </w:p>
          <w:p w14:paraId="0DAA4FD7" w14:textId="77777777" w:rsidR="00645437" w:rsidRDefault="00F16D00">
            <w:pPr>
              <w:numPr>
                <w:ilvl w:val="0"/>
                <w:numId w:val="2"/>
              </w:numPr>
              <w:tabs>
                <w:tab w:val="left" w:pos="7290"/>
              </w:tabs>
              <w:spacing w:line="276" w:lineRule="auto"/>
              <w:rPr>
                <w:rFonts w:ascii="Calibri" w:eastAsia="Calibri" w:hAnsi="Calibri" w:cs="Calibri"/>
              </w:rPr>
            </w:pPr>
            <w:r>
              <w:rPr>
                <w:rFonts w:ascii="Calibri" w:eastAsia="Calibri" w:hAnsi="Calibri" w:cs="Calibri"/>
              </w:rPr>
              <w:t>Contact information for follow-up care, including the victim’s practitioner and mental health services provider</w:t>
            </w:r>
          </w:p>
        </w:tc>
        <w:tc>
          <w:tcPr>
            <w:tcW w:w="1800" w:type="dxa"/>
            <w:tcBorders>
              <w:top w:val="single" w:sz="4" w:space="0" w:color="000000"/>
              <w:left w:val="single" w:sz="4" w:space="0" w:color="000000"/>
              <w:bottom w:val="single" w:sz="4" w:space="0" w:color="000000"/>
              <w:right w:val="single" w:sz="4" w:space="0" w:color="000000"/>
            </w:tcBorders>
          </w:tcPr>
          <w:p w14:paraId="0DAA4FD8"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0FC" wp14:editId="0DAA50FD">
                  <wp:extent cx="438150" cy="298450"/>
                  <wp:effectExtent l="0" t="0" r="0" b="0"/>
                  <wp:docPr id="1086"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D9"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Documentation</w:t>
            </w:r>
          </w:p>
        </w:tc>
      </w:tr>
      <w:tr w:rsidR="00645437" w14:paraId="0DAA4FE4" w14:textId="77777777">
        <w:tc>
          <w:tcPr>
            <w:tcW w:w="990" w:type="dxa"/>
            <w:tcBorders>
              <w:top w:val="single" w:sz="4" w:space="0" w:color="000000"/>
              <w:left w:val="single" w:sz="4" w:space="0" w:color="000000"/>
              <w:bottom w:val="single" w:sz="4" w:space="0" w:color="000000"/>
              <w:right w:val="single" w:sz="4" w:space="0" w:color="000000"/>
            </w:tcBorders>
          </w:tcPr>
          <w:p w14:paraId="0DAA4FDB"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DC"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Remember!</w:t>
            </w:r>
          </w:p>
          <w:p w14:paraId="0DAA4FDD"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0FE" wp14:editId="0DAA50FF">
                  <wp:extent cx="2804160" cy="2103120"/>
                  <wp:effectExtent l="38100" t="38100" r="38100" b="38100"/>
                  <wp:docPr id="108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DAA4FDE"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It is important to always remember that the absence of injuries does not mean that sex was consensual or that the sexual abuse did not occur.</w:t>
            </w:r>
          </w:p>
          <w:p w14:paraId="0DAA4FDF" w14:textId="77777777" w:rsidR="00645437" w:rsidRDefault="00645437">
            <w:pPr>
              <w:tabs>
                <w:tab w:val="left" w:pos="7290"/>
              </w:tabs>
              <w:spacing w:line="276" w:lineRule="auto"/>
              <w:rPr>
                <w:rFonts w:ascii="Calibri" w:eastAsia="Calibri" w:hAnsi="Calibri" w:cs="Calibri"/>
              </w:rPr>
            </w:pPr>
          </w:p>
          <w:p w14:paraId="0DAA4FE0"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lastRenderedPageBreak/>
              <w:t>The presence or absence of physical evidence does not prove whether a person has been sexually abused. Rather, the examination may provide supportive evidence to be used during legal proceedings. Documentation is a form of communication to other professionals working on the case. In a case hearing, one must be able to define every word that is documented!</w:t>
            </w:r>
          </w:p>
        </w:tc>
        <w:tc>
          <w:tcPr>
            <w:tcW w:w="1800" w:type="dxa"/>
            <w:tcBorders>
              <w:top w:val="single" w:sz="4" w:space="0" w:color="000000"/>
              <w:left w:val="single" w:sz="4" w:space="0" w:color="000000"/>
              <w:bottom w:val="single" w:sz="4" w:space="0" w:color="000000"/>
              <w:right w:val="single" w:sz="4" w:space="0" w:color="000000"/>
            </w:tcBorders>
          </w:tcPr>
          <w:p w14:paraId="0DAA4FE1"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100" wp14:editId="0DAA5101">
                  <wp:extent cx="438150" cy="298450"/>
                  <wp:effectExtent l="0" t="0" r="0" b="0"/>
                  <wp:docPr id="1088"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E2"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Remember!</w:t>
            </w:r>
          </w:p>
          <w:p w14:paraId="0DAA4FE3" w14:textId="77777777" w:rsidR="00645437" w:rsidRDefault="00645437">
            <w:pPr>
              <w:tabs>
                <w:tab w:val="left" w:pos="7290"/>
              </w:tabs>
              <w:rPr>
                <w:rFonts w:ascii="Calibri" w:eastAsia="Calibri" w:hAnsi="Calibri" w:cs="Calibri"/>
                <w:sz w:val="20"/>
                <w:szCs w:val="20"/>
              </w:rPr>
            </w:pPr>
          </w:p>
        </w:tc>
      </w:tr>
      <w:tr w:rsidR="00645437" w14:paraId="0DAA4FED" w14:textId="77777777">
        <w:tc>
          <w:tcPr>
            <w:tcW w:w="990" w:type="dxa"/>
            <w:tcBorders>
              <w:top w:val="single" w:sz="4" w:space="0" w:color="000000"/>
              <w:left w:val="single" w:sz="4" w:space="0" w:color="000000"/>
              <w:bottom w:val="single" w:sz="4" w:space="0" w:color="000000"/>
              <w:right w:val="single" w:sz="4" w:space="0" w:color="000000"/>
            </w:tcBorders>
          </w:tcPr>
          <w:p w14:paraId="0DAA4FE5" w14:textId="77777777" w:rsidR="00645437" w:rsidRDefault="00F16D00">
            <w:pPr>
              <w:tabs>
                <w:tab w:val="left" w:pos="7290"/>
              </w:tabs>
              <w:jc w:val="center"/>
              <w:rPr>
                <w:rFonts w:ascii="Calibri" w:eastAsia="Calibri" w:hAnsi="Calibri" w:cs="Calibri"/>
                <w:b/>
              </w:rPr>
            </w:pPr>
            <w:r>
              <w:rPr>
                <w:rFonts w:ascii="Calibri" w:eastAsia="Calibri" w:hAnsi="Calibri" w:cs="Calibri"/>
                <w:b/>
              </w:rPr>
              <w:t>3 min</w:t>
            </w:r>
          </w:p>
        </w:tc>
        <w:tc>
          <w:tcPr>
            <w:tcW w:w="6570" w:type="dxa"/>
            <w:tcBorders>
              <w:top w:val="single" w:sz="4" w:space="0" w:color="000000"/>
              <w:left w:val="single" w:sz="4" w:space="0" w:color="000000"/>
              <w:bottom w:val="single" w:sz="4" w:space="0" w:color="000000"/>
              <w:right w:val="single" w:sz="4" w:space="0" w:color="000000"/>
            </w:tcBorders>
          </w:tcPr>
          <w:p w14:paraId="0DAA4FE6"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Access to Victim Advocates</w:t>
            </w:r>
          </w:p>
          <w:p w14:paraId="0DAA4FE7"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102" wp14:editId="0DAA5103">
                  <wp:extent cx="2779776" cy="2103120"/>
                  <wp:effectExtent l="38100" t="38100" r="38100" b="38100"/>
                  <wp:docPr id="10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a:srcRect/>
                          <a:stretch>
                            <a:fillRect/>
                          </a:stretch>
                        </pic:blipFill>
                        <pic:spPr>
                          <a:xfrm>
                            <a:off x="0" y="0"/>
                            <a:ext cx="2779776" cy="2103120"/>
                          </a:xfrm>
                          <a:prstGeom prst="rect">
                            <a:avLst/>
                          </a:prstGeom>
                          <a:ln w="38100">
                            <a:solidFill>
                              <a:srgbClr val="000000"/>
                            </a:solidFill>
                            <a:prstDash val="solid"/>
                          </a:ln>
                        </pic:spPr>
                      </pic:pic>
                    </a:graphicData>
                  </a:graphic>
                </wp:inline>
              </w:drawing>
            </w:r>
          </w:p>
          <w:p w14:paraId="0DAA4FE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Why are victim advocates necessary? Sexual abuse in custody takes a considerable toll on survivors, their loved ones, detention facilities, and the community.</w:t>
            </w:r>
          </w:p>
          <w:p w14:paraId="0DAA4FE9" w14:textId="77777777" w:rsidR="00645437" w:rsidRDefault="00645437">
            <w:pPr>
              <w:tabs>
                <w:tab w:val="left" w:pos="7290"/>
              </w:tabs>
              <w:spacing w:line="276" w:lineRule="auto"/>
              <w:rPr>
                <w:rFonts w:ascii="Calibri" w:eastAsia="Calibri" w:hAnsi="Calibri" w:cs="Calibri"/>
              </w:rPr>
            </w:pPr>
          </w:p>
          <w:p w14:paraId="0DAA4FE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Inmate/resident survivors need and deserve rape crisis advocacy services, and most practitioners are not trained in rape trauma services, including trauma and rape crisis counseling. Additionally, some states require these services by law.</w:t>
            </w:r>
          </w:p>
        </w:tc>
        <w:tc>
          <w:tcPr>
            <w:tcW w:w="1800" w:type="dxa"/>
            <w:tcBorders>
              <w:top w:val="single" w:sz="4" w:space="0" w:color="000000"/>
              <w:left w:val="single" w:sz="4" w:space="0" w:color="000000"/>
              <w:bottom w:val="single" w:sz="4" w:space="0" w:color="000000"/>
              <w:right w:val="single" w:sz="4" w:space="0" w:color="000000"/>
            </w:tcBorders>
          </w:tcPr>
          <w:p w14:paraId="0DAA4FEB"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04" wp14:editId="0DAA5105">
                  <wp:extent cx="438150" cy="298450"/>
                  <wp:effectExtent l="0" t="0" r="0" b="0"/>
                  <wp:docPr id="1090"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EC"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Access to Victim Advocates</w:t>
            </w:r>
          </w:p>
        </w:tc>
      </w:tr>
      <w:tr w:rsidR="00645437" w14:paraId="0DAA4FF9" w14:textId="77777777">
        <w:tc>
          <w:tcPr>
            <w:tcW w:w="990" w:type="dxa"/>
            <w:tcBorders>
              <w:top w:val="single" w:sz="4" w:space="0" w:color="000000"/>
              <w:left w:val="single" w:sz="4" w:space="0" w:color="000000"/>
              <w:bottom w:val="single" w:sz="4" w:space="0" w:color="000000"/>
              <w:right w:val="single" w:sz="4" w:space="0" w:color="000000"/>
            </w:tcBorders>
          </w:tcPr>
          <w:p w14:paraId="0DAA4FEE"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E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The Rape Crisis Model</w:t>
            </w:r>
          </w:p>
          <w:p w14:paraId="0DAA4FF0"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106" wp14:editId="0DAA5107">
                  <wp:extent cx="2807208" cy="2103120"/>
                  <wp:effectExtent l="38100" t="38100" r="38100" b="38100"/>
                  <wp:docPr id="109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4FF1" w14:textId="77777777" w:rsidR="00645437" w:rsidRDefault="00F16D00">
            <w:pPr>
              <w:numPr>
                <w:ilvl w:val="0"/>
                <w:numId w:val="9"/>
              </w:numPr>
              <w:tabs>
                <w:tab w:val="left" w:pos="7290"/>
              </w:tabs>
              <w:spacing w:line="276" w:lineRule="auto"/>
              <w:rPr>
                <w:rFonts w:ascii="Calibri" w:eastAsia="Calibri" w:hAnsi="Calibri" w:cs="Calibri"/>
              </w:rPr>
            </w:pPr>
            <w:r>
              <w:rPr>
                <w:rFonts w:ascii="Calibri" w:eastAsia="Calibri" w:hAnsi="Calibri" w:cs="Calibri"/>
              </w:rPr>
              <w:t>Survivor-centered</w:t>
            </w:r>
          </w:p>
          <w:p w14:paraId="0DAA4FF2" w14:textId="77777777" w:rsidR="00645437" w:rsidRDefault="00F16D00">
            <w:pPr>
              <w:numPr>
                <w:ilvl w:val="0"/>
                <w:numId w:val="9"/>
              </w:numPr>
              <w:tabs>
                <w:tab w:val="left" w:pos="7290"/>
              </w:tabs>
              <w:spacing w:line="276" w:lineRule="auto"/>
              <w:rPr>
                <w:rFonts w:ascii="Calibri" w:eastAsia="Calibri" w:hAnsi="Calibri" w:cs="Calibri"/>
              </w:rPr>
            </w:pPr>
            <w:r>
              <w:rPr>
                <w:rFonts w:ascii="Calibri" w:eastAsia="Calibri" w:hAnsi="Calibri" w:cs="Calibri"/>
              </w:rPr>
              <w:lastRenderedPageBreak/>
              <w:t xml:space="preserve">Goal is empowerment </w:t>
            </w:r>
          </w:p>
          <w:p w14:paraId="0DAA4FF3" w14:textId="77777777" w:rsidR="00645437" w:rsidRDefault="00F16D00">
            <w:pPr>
              <w:numPr>
                <w:ilvl w:val="0"/>
                <w:numId w:val="9"/>
              </w:numPr>
              <w:tabs>
                <w:tab w:val="left" w:pos="7290"/>
              </w:tabs>
              <w:spacing w:line="276" w:lineRule="auto"/>
              <w:rPr>
                <w:rFonts w:ascii="Calibri" w:eastAsia="Calibri" w:hAnsi="Calibri" w:cs="Calibri"/>
              </w:rPr>
            </w:pPr>
            <w:r>
              <w:rPr>
                <w:rFonts w:ascii="Calibri" w:eastAsia="Calibri" w:hAnsi="Calibri" w:cs="Calibri"/>
              </w:rPr>
              <w:t>Focus on managing immediate trauma symptoms and assisting the survivor to regain control and to heal</w:t>
            </w:r>
          </w:p>
          <w:p w14:paraId="0DAA4FF4" w14:textId="77777777" w:rsidR="00645437" w:rsidRDefault="00F16D00">
            <w:pPr>
              <w:numPr>
                <w:ilvl w:val="0"/>
                <w:numId w:val="9"/>
              </w:numPr>
              <w:tabs>
                <w:tab w:val="left" w:pos="7290"/>
              </w:tabs>
              <w:spacing w:line="276" w:lineRule="auto"/>
              <w:rPr>
                <w:rFonts w:ascii="Calibri" w:eastAsia="Calibri" w:hAnsi="Calibri" w:cs="Calibri"/>
              </w:rPr>
            </w:pPr>
            <w:r>
              <w:rPr>
                <w:rFonts w:ascii="Calibri" w:eastAsia="Calibri" w:hAnsi="Calibri" w:cs="Calibri"/>
              </w:rPr>
              <w:t>A problem-solving, non-directive approach</w:t>
            </w:r>
          </w:p>
          <w:p w14:paraId="0DAA4FF5" w14:textId="77777777" w:rsidR="00645437" w:rsidRDefault="00645437">
            <w:pPr>
              <w:tabs>
                <w:tab w:val="left" w:pos="7290"/>
              </w:tabs>
              <w:spacing w:line="276" w:lineRule="auto"/>
              <w:ind w:left="360"/>
              <w:rPr>
                <w:rFonts w:ascii="Calibri" w:eastAsia="Calibri" w:hAnsi="Calibri" w:cs="Calibri"/>
              </w:rPr>
            </w:pPr>
          </w:p>
          <w:p w14:paraId="0DAA4FF6"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This model has shown to be effective for all survivors. </w:t>
            </w:r>
          </w:p>
        </w:tc>
        <w:tc>
          <w:tcPr>
            <w:tcW w:w="1800" w:type="dxa"/>
            <w:tcBorders>
              <w:top w:val="single" w:sz="4" w:space="0" w:color="000000"/>
              <w:left w:val="single" w:sz="4" w:space="0" w:color="000000"/>
              <w:bottom w:val="single" w:sz="4" w:space="0" w:color="000000"/>
              <w:right w:val="single" w:sz="4" w:space="0" w:color="000000"/>
            </w:tcBorders>
          </w:tcPr>
          <w:p w14:paraId="0DAA4FF7"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108" wp14:editId="0DAA5109">
                  <wp:extent cx="438150" cy="298450"/>
                  <wp:effectExtent l="0" t="0" r="0" b="0"/>
                  <wp:docPr id="1092"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F8"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The Rape Crisis Model</w:t>
            </w:r>
          </w:p>
        </w:tc>
      </w:tr>
      <w:tr w:rsidR="00645437" w14:paraId="0DAA5000" w14:textId="77777777">
        <w:tc>
          <w:tcPr>
            <w:tcW w:w="990" w:type="dxa"/>
            <w:tcBorders>
              <w:top w:val="single" w:sz="4" w:space="0" w:color="000000"/>
              <w:left w:val="single" w:sz="4" w:space="0" w:color="000000"/>
              <w:bottom w:val="single" w:sz="4" w:space="0" w:color="000000"/>
              <w:right w:val="single" w:sz="4" w:space="0" w:color="000000"/>
            </w:tcBorders>
          </w:tcPr>
          <w:p w14:paraId="0DAA4FFA"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4FFB"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The Role of the Victim Advocate</w:t>
            </w:r>
          </w:p>
          <w:p w14:paraId="0DAA4FFC"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10A" wp14:editId="0DAA510B">
                  <wp:extent cx="2798064" cy="2103120"/>
                  <wp:effectExtent l="38100" t="38100" r="38100" b="38100"/>
                  <wp:docPr id="10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2798064" cy="2103120"/>
                          </a:xfrm>
                          <a:prstGeom prst="rect">
                            <a:avLst/>
                          </a:prstGeom>
                          <a:ln w="38100">
                            <a:solidFill>
                              <a:srgbClr val="000000"/>
                            </a:solidFill>
                            <a:prstDash val="solid"/>
                          </a:ln>
                        </pic:spPr>
                      </pic:pic>
                    </a:graphicData>
                  </a:graphic>
                </wp:inline>
              </w:drawing>
            </w:r>
          </w:p>
          <w:p w14:paraId="0DAA4FFD"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What is the role of victim advocates? Support. They can assist in getting consent and providing explanations. They can be staff or volunteers and may or may not be on-call all the time. Either way, they go through extensive training and are certified.</w:t>
            </w:r>
          </w:p>
        </w:tc>
        <w:tc>
          <w:tcPr>
            <w:tcW w:w="1800" w:type="dxa"/>
            <w:tcBorders>
              <w:top w:val="single" w:sz="4" w:space="0" w:color="000000"/>
              <w:left w:val="single" w:sz="4" w:space="0" w:color="000000"/>
              <w:bottom w:val="single" w:sz="4" w:space="0" w:color="000000"/>
              <w:right w:val="single" w:sz="4" w:space="0" w:color="000000"/>
            </w:tcBorders>
          </w:tcPr>
          <w:p w14:paraId="0DAA4FFE" w14:textId="77777777" w:rsidR="00645437" w:rsidRDefault="00F16D00">
            <w:pPr>
              <w:tabs>
                <w:tab w:val="left" w:pos="7290"/>
              </w:tabs>
              <w:spacing w:after="280"/>
              <w:rPr>
                <w:rFonts w:ascii="Calibri" w:eastAsia="Calibri" w:hAnsi="Calibri" w:cs="Calibri"/>
                <w:sz w:val="20"/>
                <w:szCs w:val="20"/>
              </w:rPr>
            </w:pPr>
            <w:r>
              <w:rPr>
                <w:rFonts w:ascii="Calibri" w:eastAsia="Calibri" w:hAnsi="Calibri" w:cs="Calibri"/>
                <w:noProof/>
                <w:sz w:val="20"/>
                <w:szCs w:val="20"/>
              </w:rPr>
              <w:drawing>
                <wp:inline distT="0" distB="0" distL="0" distR="0" wp14:anchorId="0DAA510C" wp14:editId="0DAA510D">
                  <wp:extent cx="438150" cy="298450"/>
                  <wp:effectExtent l="0" t="0" r="0" b="0"/>
                  <wp:docPr id="1083"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4FFF"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The Role of the Victim Advocate</w:t>
            </w:r>
          </w:p>
        </w:tc>
      </w:tr>
      <w:tr w:rsidR="00645437" w14:paraId="0DAA500B" w14:textId="77777777">
        <w:tc>
          <w:tcPr>
            <w:tcW w:w="990" w:type="dxa"/>
            <w:tcBorders>
              <w:top w:val="single" w:sz="4" w:space="0" w:color="000000"/>
              <w:left w:val="single" w:sz="4" w:space="0" w:color="000000"/>
              <w:bottom w:val="single" w:sz="4" w:space="0" w:color="000000"/>
              <w:right w:val="single" w:sz="4" w:space="0" w:color="000000"/>
            </w:tcBorders>
          </w:tcPr>
          <w:p w14:paraId="0DAA5001" w14:textId="77777777" w:rsidR="00645437" w:rsidRDefault="00F16D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0DAA5002"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Unique Role of the Victim Advocate</w:t>
            </w:r>
          </w:p>
          <w:p w14:paraId="0DAA5003"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10E" wp14:editId="0DAA510F">
                  <wp:extent cx="2807208" cy="2103120"/>
                  <wp:effectExtent l="38100" t="38100" r="38100" b="38100"/>
                  <wp:docPr id="10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5004"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The victim advocate is unique in that their sole focus is on the safety and well-being of the victim. As a result, they can maintain confidentiality and be available to the victim throughout the day.</w:t>
            </w:r>
          </w:p>
        </w:tc>
        <w:tc>
          <w:tcPr>
            <w:tcW w:w="1800" w:type="dxa"/>
            <w:tcBorders>
              <w:top w:val="single" w:sz="4" w:space="0" w:color="000000"/>
              <w:left w:val="single" w:sz="4" w:space="0" w:color="000000"/>
              <w:bottom w:val="single" w:sz="4" w:space="0" w:color="000000"/>
              <w:right w:val="single" w:sz="4" w:space="0" w:color="000000"/>
            </w:tcBorders>
          </w:tcPr>
          <w:p w14:paraId="0DAA5005"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10" wp14:editId="0DAA5111">
                  <wp:extent cx="438150" cy="298450"/>
                  <wp:effectExtent l="0" t="0" r="0" b="0"/>
                  <wp:docPr id="1075"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06"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Unique Role of Victim Advocates</w:t>
            </w:r>
          </w:p>
          <w:p w14:paraId="0DAA5007" w14:textId="77777777" w:rsidR="00645437" w:rsidRDefault="00645437">
            <w:pPr>
              <w:tabs>
                <w:tab w:val="left" w:pos="7290"/>
              </w:tabs>
              <w:rPr>
                <w:rFonts w:ascii="Calibri" w:eastAsia="Calibri" w:hAnsi="Calibri" w:cs="Calibri"/>
                <w:sz w:val="20"/>
                <w:szCs w:val="20"/>
              </w:rPr>
            </w:pPr>
          </w:p>
          <w:p w14:paraId="0DAA5008" w14:textId="77777777" w:rsidR="00645437" w:rsidRDefault="00F16D00">
            <w:pPr>
              <w:tabs>
                <w:tab w:val="left" w:pos="7290"/>
              </w:tabs>
              <w:rPr>
                <w:rFonts w:ascii="Calibri" w:eastAsia="Calibri" w:hAnsi="Calibri" w:cs="Calibri"/>
                <w:sz w:val="20"/>
                <w:szCs w:val="20"/>
              </w:rPr>
            </w:pPr>
            <w:r>
              <w:rPr>
                <w:rFonts w:ascii="Calibri" w:eastAsia="Calibri" w:hAnsi="Calibri" w:cs="Calibri"/>
                <w:sz w:val="20"/>
                <w:szCs w:val="20"/>
              </w:rPr>
              <w:t xml:space="preserve">Ask the class to do an exercise with the intention of shocking participants rather than </w:t>
            </w:r>
            <w:proofErr w:type="gramStart"/>
            <w:r>
              <w:rPr>
                <w:rFonts w:ascii="Calibri" w:eastAsia="Calibri" w:hAnsi="Calibri" w:cs="Calibri"/>
                <w:sz w:val="20"/>
                <w:szCs w:val="20"/>
              </w:rPr>
              <w:t>actually having</w:t>
            </w:r>
            <w:proofErr w:type="gramEnd"/>
            <w:r>
              <w:rPr>
                <w:rFonts w:ascii="Calibri" w:eastAsia="Calibri" w:hAnsi="Calibri" w:cs="Calibri"/>
                <w:sz w:val="20"/>
                <w:szCs w:val="20"/>
              </w:rPr>
              <w:t xml:space="preserve"> them perform the exercise. Ask them to write down all the details of their last sexual encounter, and then pass it to their neighbor. </w:t>
            </w:r>
          </w:p>
          <w:p w14:paraId="0DAA5009" w14:textId="77777777" w:rsidR="00645437" w:rsidRDefault="00645437">
            <w:pPr>
              <w:tabs>
                <w:tab w:val="left" w:pos="7290"/>
              </w:tabs>
              <w:rPr>
                <w:rFonts w:ascii="Calibri" w:eastAsia="Calibri" w:hAnsi="Calibri" w:cs="Calibri"/>
                <w:sz w:val="20"/>
                <w:szCs w:val="20"/>
              </w:rPr>
            </w:pPr>
          </w:p>
          <w:p w14:paraId="0DAA500A" w14:textId="77777777" w:rsidR="00645437" w:rsidRDefault="00F16D00">
            <w:pPr>
              <w:tabs>
                <w:tab w:val="left" w:pos="7290"/>
              </w:tabs>
              <w:rPr>
                <w:rFonts w:ascii="Calibri" w:eastAsia="Calibri" w:hAnsi="Calibri" w:cs="Calibri"/>
                <w:sz w:val="20"/>
                <w:szCs w:val="20"/>
              </w:rPr>
            </w:pPr>
            <w:r>
              <w:rPr>
                <w:rFonts w:ascii="Calibri" w:eastAsia="Calibri" w:hAnsi="Calibri" w:cs="Calibri"/>
                <w:sz w:val="20"/>
                <w:szCs w:val="20"/>
              </w:rPr>
              <w:t xml:space="preserve">Emphasize that we’re asking </w:t>
            </w:r>
            <w:r>
              <w:rPr>
                <w:rFonts w:ascii="Calibri" w:eastAsia="Calibri" w:hAnsi="Calibri" w:cs="Calibri"/>
                <w:sz w:val="20"/>
                <w:szCs w:val="20"/>
              </w:rPr>
              <w:lastRenderedPageBreak/>
              <w:t xml:space="preserve">survivors to do this multiple times, and their last sexual encounter was painful and unwanted. </w:t>
            </w:r>
          </w:p>
        </w:tc>
      </w:tr>
      <w:tr w:rsidR="00645437" w14:paraId="0DAA5012" w14:textId="77777777">
        <w:tc>
          <w:tcPr>
            <w:tcW w:w="990" w:type="dxa"/>
            <w:tcBorders>
              <w:top w:val="single" w:sz="4" w:space="0" w:color="000000"/>
              <w:left w:val="single" w:sz="4" w:space="0" w:color="000000"/>
              <w:bottom w:val="single" w:sz="4" w:space="0" w:color="000000"/>
              <w:right w:val="single" w:sz="4" w:space="0" w:color="000000"/>
            </w:tcBorders>
          </w:tcPr>
          <w:p w14:paraId="0DAA500C"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500D"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Rape Crisis Model</w:t>
            </w:r>
          </w:p>
          <w:p w14:paraId="0DAA500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112" wp14:editId="0DAA5113">
                  <wp:extent cx="2788920" cy="2103120"/>
                  <wp:effectExtent l="38100" t="38100" r="38100" b="38100"/>
                  <wp:docPr id="10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2788920" cy="2103120"/>
                          </a:xfrm>
                          <a:prstGeom prst="rect">
                            <a:avLst/>
                          </a:prstGeom>
                          <a:ln w="38100">
                            <a:solidFill>
                              <a:srgbClr val="000000"/>
                            </a:solidFill>
                            <a:prstDash val="solid"/>
                          </a:ln>
                        </pic:spPr>
                      </pic:pic>
                    </a:graphicData>
                  </a:graphic>
                </wp:inline>
              </w:drawing>
            </w:r>
          </w:p>
          <w:p w14:paraId="0DAA500F"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Rape crisis services fall into one of three categories: acute care, follow-up care, and longer-term care. Your interactions with the victim advocate will be during the acute and follow-up care stages. </w:t>
            </w:r>
          </w:p>
        </w:tc>
        <w:tc>
          <w:tcPr>
            <w:tcW w:w="1800" w:type="dxa"/>
            <w:tcBorders>
              <w:top w:val="single" w:sz="4" w:space="0" w:color="000000"/>
              <w:left w:val="single" w:sz="4" w:space="0" w:color="000000"/>
              <w:bottom w:val="single" w:sz="4" w:space="0" w:color="000000"/>
              <w:right w:val="single" w:sz="4" w:space="0" w:color="000000"/>
            </w:tcBorders>
          </w:tcPr>
          <w:p w14:paraId="0DAA5010"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14" wp14:editId="0DAA5115">
                  <wp:extent cx="438150" cy="298450"/>
                  <wp:effectExtent l="0" t="0" r="0" b="0"/>
                  <wp:docPr id="1077"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11"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Rape Crisis Services</w:t>
            </w:r>
          </w:p>
        </w:tc>
      </w:tr>
      <w:tr w:rsidR="00645437" w14:paraId="0DAA501E" w14:textId="77777777">
        <w:tc>
          <w:tcPr>
            <w:tcW w:w="990" w:type="dxa"/>
            <w:tcBorders>
              <w:top w:val="single" w:sz="4" w:space="0" w:color="000000"/>
              <w:left w:val="single" w:sz="4" w:space="0" w:color="000000"/>
              <w:bottom w:val="single" w:sz="4" w:space="0" w:color="000000"/>
              <w:right w:val="single" w:sz="4" w:space="0" w:color="000000"/>
            </w:tcBorders>
          </w:tcPr>
          <w:p w14:paraId="0DAA5013" w14:textId="77777777" w:rsidR="00645437" w:rsidRDefault="00F16D00">
            <w:pPr>
              <w:tabs>
                <w:tab w:val="left" w:pos="7290"/>
              </w:tabs>
              <w:jc w:val="center"/>
              <w:rPr>
                <w:rFonts w:ascii="Calibri" w:eastAsia="Calibri" w:hAnsi="Calibri" w:cs="Calibri"/>
                <w:b/>
              </w:rPr>
            </w:pPr>
            <w:r>
              <w:rPr>
                <w:rFonts w:ascii="Calibri" w:eastAsia="Calibri" w:hAnsi="Calibri" w:cs="Calibri"/>
                <w:b/>
              </w:rPr>
              <w:t>1 min</w:t>
            </w:r>
          </w:p>
        </w:tc>
        <w:tc>
          <w:tcPr>
            <w:tcW w:w="6570" w:type="dxa"/>
            <w:tcBorders>
              <w:top w:val="single" w:sz="4" w:space="0" w:color="000000"/>
              <w:left w:val="single" w:sz="4" w:space="0" w:color="000000"/>
              <w:bottom w:val="single" w:sz="4" w:space="0" w:color="000000"/>
              <w:right w:val="single" w:sz="4" w:space="0" w:color="000000"/>
            </w:tcBorders>
          </w:tcPr>
          <w:p w14:paraId="0DAA5014"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b/>
              </w:rPr>
              <w:t xml:space="preserve">Role of the </w:t>
            </w:r>
            <w:proofErr w:type="gramStart"/>
            <w:r>
              <w:rPr>
                <w:rFonts w:ascii="Calibri" w:eastAsia="Calibri" w:hAnsi="Calibri" w:cs="Calibri"/>
                <w:b/>
              </w:rPr>
              <w:t>Advocate  During</w:t>
            </w:r>
            <w:proofErr w:type="gramEnd"/>
            <w:r>
              <w:rPr>
                <w:rFonts w:ascii="Calibri" w:eastAsia="Calibri" w:hAnsi="Calibri" w:cs="Calibri"/>
                <w:b/>
              </w:rPr>
              <w:t xml:space="preserve"> the Forensic Exam</w:t>
            </w:r>
          </w:p>
          <w:p w14:paraId="0DAA5015"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116" wp14:editId="0DAA5117">
                  <wp:extent cx="2807208" cy="2103120"/>
                  <wp:effectExtent l="38100" t="38100" r="38100" b="38100"/>
                  <wp:docPr id="10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5016"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A victim advocate is supposed to be both informed and open-minded. They align themselves with the survivors and inform them of their rights.</w:t>
            </w:r>
          </w:p>
          <w:p w14:paraId="0DAA5017" w14:textId="77777777" w:rsidR="00645437" w:rsidRDefault="00645437">
            <w:pPr>
              <w:tabs>
                <w:tab w:val="left" w:pos="7290"/>
              </w:tabs>
              <w:spacing w:line="276" w:lineRule="auto"/>
              <w:rPr>
                <w:rFonts w:ascii="Calibri" w:eastAsia="Calibri" w:hAnsi="Calibri" w:cs="Calibri"/>
              </w:rPr>
            </w:pPr>
          </w:p>
          <w:p w14:paraId="0DAA5018"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Additionally, they will negotiate the survivors’ privacy and comfort during interviews and exams.</w:t>
            </w:r>
          </w:p>
          <w:p w14:paraId="0DAA5019" w14:textId="77777777" w:rsidR="00645437" w:rsidRDefault="00645437">
            <w:pPr>
              <w:tabs>
                <w:tab w:val="left" w:pos="7290"/>
              </w:tabs>
              <w:spacing w:line="276" w:lineRule="auto"/>
              <w:rPr>
                <w:rFonts w:ascii="Calibri" w:eastAsia="Calibri" w:hAnsi="Calibri" w:cs="Calibri"/>
              </w:rPr>
            </w:pPr>
          </w:p>
          <w:p w14:paraId="0DAA501A"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lastRenderedPageBreak/>
              <w:t>Finally, they will prepare the survivors to return to custody.</w:t>
            </w:r>
          </w:p>
        </w:tc>
        <w:tc>
          <w:tcPr>
            <w:tcW w:w="1800" w:type="dxa"/>
            <w:tcBorders>
              <w:top w:val="single" w:sz="4" w:space="0" w:color="000000"/>
              <w:left w:val="single" w:sz="4" w:space="0" w:color="000000"/>
              <w:bottom w:val="single" w:sz="4" w:space="0" w:color="000000"/>
              <w:right w:val="single" w:sz="4" w:space="0" w:color="000000"/>
            </w:tcBorders>
          </w:tcPr>
          <w:p w14:paraId="0DAA501B"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DAA5118" wp14:editId="0DAA5119">
                  <wp:extent cx="438150" cy="298450"/>
                  <wp:effectExtent l="0" t="0" r="0" b="0"/>
                  <wp:docPr id="1079"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1C"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Role of the Advocate During the Forensic Exam</w:t>
            </w:r>
          </w:p>
          <w:p w14:paraId="0DAA501D" w14:textId="77777777" w:rsidR="00645437" w:rsidRDefault="00645437">
            <w:pPr>
              <w:tabs>
                <w:tab w:val="left" w:pos="7290"/>
              </w:tabs>
              <w:rPr>
                <w:rFonts w:ascii="Calibri" w:eastAsia="Calibri" w:hAnsi="Calibri" w:cs="Calibri"/>
                <w:sz w:val="20"/>
                <w:szCs w:val="20"/>
              </w:rPr>
            </w:pPr>
          </w:p>
        </w:tc>
      </w:tr>
      <w:tr w:rsidR="00645437" w14:paraId="0DAA5046" w14:textId="77777777">
        <w:tc>
          <w:tcPr>
            <w:tcW w:w="990" w:type="dxa"/>
            <w:tcBorders>
              <w:top w:val="single" w:sz="4" w:space="0" w:color="000000"/>
              <w:left w:val="single" w:sz="4" w:space="0" w:color="000000"/>
              <w:bottom w:val="single" w:sz="4" w:space="0" w:color="000000"/>
              <w:right w:val="single" w:sz="4" w:space="0" w:color="000000"/>
            </w:tcBorders>
          </w:tcPr>
          <w:p w14:paraId="0DAA501F" w14:textId="77777777" w:rsidR="00645437" w:rsidRDefault="00F16D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0DAA5020"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b/>
              </w:rPr>
              <w:t>Role of the Advocate in Investigative Interviews</w:t>
            </w:r>
          </w:p>
          <w:p w14:paraId="0DAA5021"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11A" wp14:editId="0DAA511B">
                  <wp:extent cx="2807208" cy="2103120"/>
                  <wp:effectExtent l="38100" t="38100" r="38100" b="38100"/>
                  <wp:docPr id="108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6"/>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5022"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The role of the advocate during interviews is to provide support and information. The advocate will not participate in the interview unless specifically asked to do </w:t>
            </w:r>
            <w:proofErr w:type="gramStart"/>
            <w:r>
              <w:rPr>
                <w:rFonts w:ascii="Calibri" w:eastAsia="Calibri" w:hAnsi="Calibri" w:cs="Calibri"/>
              </w:rPr>
              <w:t>so, and</w:t>
            </w:r>
            <w:proofErr w:type="gramEnd"/>
            <w:r>
              <w:rPr>
                <w:rFonts w:ascii="Calibri" w:eastAsia="Calibri" w:hAnsi="Calibri" w:cs="Calibri"/>
              </w:rPr>
              <w:t xml:space="preserve"> will not serve as a translator. He/she will be solely focused on the needs of the victim. </w:t>
            </w:r>
          </w:p>
          <w:p w14:paraId="0DAA5023" w14:textId="77777777" w:rsidR="00645437" w:rsidRDefault="00645437">
            <w:pPr>
              <w:tabs>
                <w:tab w:val="left" w:pos="7290"/>
              </w:tabs>
              <w:spacing w:line="276" w:lineRule="auto"/>
              <w:rPr>
                <w:rFonts w:ascii="Calibri" w:eastAsia="Calibri" w:hAnsi="Calibri" w:cs="Calibri"/>
              </w:rPr>
            </w:pPr>
          </w:p>
          <w:p w14:paraId="0DAA5024"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Investigators should view victim advocates as partners. Victims are more likely to cooperate and to fully and honestly discuss the abuse if they are supported and as comfortable as possible. The victim advocate will provide the support and work to enhance the victim’s comfort so the investigator can focus on his/her job. </w:t>
            </w:r>
          </w:p>
          <w:p w14:paraId="0DAA5025" w14:textId="77777777" w:rsidR="00645437" w:rsidRDefault="00645437">
            <w:pPr>
              <w:tabs>
                <w:tab w:val="left" w:pos="7290"/>
              </w:tabs>
              <w:spacing w:line="276" w:lineRule="auto"/>
              <w:rPr>
                <w:rFonts w:ascii="Calibri" w:eastAsia="Calibri" w:hAnsi="Calibri" w:cs="Calibri"/>
              </w:rPr>
            </w:pPr>
          </w:p>
          <w:p w14:paraId="0DAA5026"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What are the strengths and challenges of working with a victim advocate during an investigation?</w:t>
            </w:r>
          </w:p>
        </w:tc>
        <w:tc>
          <w:tcPr>
            <w:tcW w:w="1800" w:type="dxa"/>
            <w:tcBorders>
              <w:top w:val="single" w:sz="4" w:space="0" w:color="000000"/>
              <w:left w:val="single" w:sz="4" w:space="0" w:color="000000"/>
              <w:bottom w:val="single" w:sz="4" w:space="0" w:color="000000"/>
              <w:right w:val="single" w:sz="4" w:space="0" w:color="000000"/>
            </w:tcBorders>
          </w:tcPr>
          <w:p w14:paraId="0DAA5027"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1C" wp14:editId="0DAA511D">
                  <wp:extent cx="438150" cy="298450"/>
                  <wp:effectExtent l="0" t="0" r="0" b="0"/>
                  <wp:docPr id="1081"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28"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Role of the Advocate in Investigative Interviews</w:t>
            </w:r>
          </w:p>
          <w:p w14:paraId="0DAA5029" w14:textId="77777777" w:rsidR="00645437" w:rsidRDefault="00645437">
            <w:pPr>
              <w:tabs>
                <w:tab w:val="left" w:pos="7290"/>
              </w:tabs>
              <w:rPr>
                <w:rFonts w:ascii="Calibri" w:eastAsia="Calibri" w:hAnsi="Calibri" w:cs="Calibri"/>
                <w:sz w:val="20"/>
                <w:szCs w:val="20"/>
              </w:rPr>
            </w:pPr>
          </w:p>
          <w:p w14:paraId="0DAA502A" w14:textId="77777777" w:rsidR="00645437" w:rsidRDefault="00645437">
            <w:pPr>
              <w:tabs>
                <w:tab w:val="left" w:pos="7290"/>
              </w:tabs>
              <w:rPr>
                <w:rFonts w:ascii="Calibri" w:eastAsia="Calibri" w:hAnsi="Calibri" w:cs="Calibri"/>
                <w:sz w:val="20"/>
                <w:szCs w:val="20"/>
              </w:rPr>
            </w:pPr>
          </w:p>
          <w:p w14:paraId="0DAA502B" w14:textId="77777777" w:rsidR="00645437" w:rsidRDefault="00645437">
            <w:pPr>
              <w:tabs>
                <w:tab w:val="left" w:pos="7290"/>
              </w:tabs>
              <w:rPr>
                <w:rFonts w:ascii="Calibri" w:eastAsia="Calibri" w:hAnsi="Calibri" w:cs="Calibri"/>
                <w:sz w:val="20"/>
                <w:szCs w:val="20"/>
              </w:rPr>
            </w:pPr>
          </w:p>
          <w:p w14:paraId="0DAA502C" w14:textId="77777777" w:rsidR="00645437" w:rsidRDefault="00645437">
            <w:pPr>
              <w:tabs>
                <w:tab w:val="left" w:pos="7290"/>
              </w:tabs>
              <w:rPr>
                <w:rFonts w:ascii="Calibri" w:eastAsia="Calibri" w:hAnsi="Calibri" w:cs="Calibri"/>
                <w:sz w:val="20"/>
                <w:szCs w:val="20"/>
              </w:rPr>
            </w:pPr>
          </w:p>
          <w:p w14:paraId="0DAA502D" w14:textId="77777777" w:rsidR="00645437" w:rsidRDefault="00645437">
            <w:pPr>
              <w:tabs>
                <w:tab w:val="left" w:pos="7290"/>
              </w:tabs>
              <w:rPr>
                <w:rFonts w:ascii="Calibri" w:eastAsia="Calibri" w:hAnsi="Calibri" w:cs="Calibri"/>
                <w:sz w:val="20"/>
                <w:szCs w:val="20"/>
              </w:rPr>
            </w:pPr>
          </w:p>
          <w:p w14:paraId="0DAA502E" w14:textId="77777777" w:rsidR="00645437" w:rsidRDefault="00645437">
            <w:pPr>
              <w:tabs>
                <w:tab w:val="left" w:pos="7290"/>
              </w:tabs>
              <w:rPr>
                <w:rFonts w:ascii="Calibri" w:eastAsia="Calibri" w:hAnsi="Calibri" w:cs="Calibri"/>
                <w:sz w:val="20"/>
                <w:szCs w:val="20"/>
              </w:rPr>
            </w:pPr>
          </w:p>
          <w:p w14:paraId="0DAA502F" w14:textId="77777777" w:rsidR="00645437" w:rsidRDefault="00645437">
            <w:pPr>
              <w:tabs>
                <w:tab w:val="left" w:pos="7290"/>
              </w:tabs>
              <w:rPr>
                <w:rFonts w:ascii="Calibri" w:eastAsia="Calibri" w:hAnsi="Calibri" w:cs="Calibri"/>
                <w:sz w:val="20"/>
                <w:szCs w:val="20"/>
              </w:rPr>
            </w:pPr>
          </w:p>
          <w:p w14:paraId="0DAA5030" w14:textId="77777777" w:rsidR="00645437" w:rsidRDefault="00645437">
            <w:pPr>
              <w:tabs>
                <w:tab w:val="left" w:pos="7290"/>
              </w:tabs>
              <w:rPr>
                <w:rFonts w:ascii="Calibri" w:eastAsia="Calibri" w:hAnsi="Calibri" w:cs="Calibri"/>
                <w:sz w:val="20"/>
                <w:szCs w:val="20"/>
              </w:rPr>
            </w:pPr>
          </w:p>
          <w:p w14:paraId="0DAA5031" w14:textId="77777777" w:rsidR="00645437" w:rsidRDefault="00645437">
            <w:pPr>
              <w:tabs>
                <w:tab w:val="left" w:pos="7290"/>
              </w:tabs>
              <w:rPr>
                <w:rFonts w:ascii="Calibri" w:eastAsia="Calibri" w:hAnsi="Calibri" w:cs="Calibri"/>
                <w:sz w:val="20"/>
                <w:szCs w:val="20"/>
              </w:rPr>
            </w:pPr>
          </w:p>
          <w:p w14:paraId="0DAA5032" w14:textId="77777777" w:rsidR="00645437" w:rsidRDefault="00645437">
            <w:pPr>
              <w:tabs>
                <w:tab w:val="left" w:pos="7290"/>
              </w:tabs>
              <w:rPr>
                <w:rFonts w:ascii="Calibri" w:eastAsia="Calibri" w:hAnsi="Calibri" w:cs="Calibri"/>
                <w:sz w:val="20"/>
                <w:szCs w:val="20"/>
              </w:rPr>
            </w:pPr>
          </w:p>
          <w:p w14:paraId="0DAA5033" w14:textId="77777777" w:rsidR="00645437" w:rsidRDefault="00645437">
            <w:pPr>
              <w:tabs>
                <w:tab w:val="left" w:pos="7290"/>
              </w:tabs>
              <w:rPr>
                <w:rFonts w:ascii="Calibri" w:eastAsia="Calibri" w:hAnsi="Calibri" w:cs="Calibri"/>
                <w:sz w:val="20"/>
                <w:szCs w:val="20"/>
              </w:rPr>
            </w:pPr>
          </w:p>
          <w:p w14:paraId="0DAA5034" w14:textId="77777777" w:rsidR="00645437" w:rsidRDefault="00645437">
            <w:pPr>
              <w:tabs>
                <w:tab w:val="left" w:pos="7290"/>
              </w:tabs>
              <w:rPr>
                <w:rFonts w:ascii="Calibri" w:eastAsia="Calibri" w:hAnsi="Calibri" w:cs="Calibri"/>
                <w:sz w:val="20"/>
                <w:szCs w:val="20"/>
              </w:rPr>
            </w:pPr>
          </w:p>
          <w:p w14:paraId="0DAA5035" w14:textId="77777777" w:rsidR="00645437" w:rsidRDefault="00645437">
            <w:pPr>
              <w:tabs>
                <w:tab w:val="left" w:pos="7290"/>
              </w:tabs>
              <w:rPr>
                <w:rFonts w:ascii="Calibri" w:eastAsia="Calibri" w:hAnsi="Calibri" w:cs="Calibri"/>
                <w:sz w:val="20"/>
                <w:szCs w:val="20"/>
              </w:rPr>
            </w:pPr>
          </w:p>
          <w:p w14:paraId="0DAA5036" w14:textId="77777777" w:rsidR="00645437" w:rsidRDefault="00645437">
            <w:pPr>
              <w:tabs>
                <w:tab w:val="left" w:pos="7290"/>
              </w:tabs>
              <w:rPr>
                <w:rFonts w:ascii="Calibri" w:eastAsia="Calibri" w:hAnsi="Calibri" w:cs="Calibri"/>
                <w:sz w:val="20"/>
                <w:szCs w:val="20"/>
              </w:rPr>
            </w:pPr>
          </w:p>
          <w:p w14:paraId="0DAA5037" w14:textId="77777777" w:rsidR="00645437" w:rsidRDefault="00645437">
            <w:pPr>
              <w:tabs>
                <w:tab w:val="left" w:pos="7290"/>
              </w:tabs>
              <w:rPr>
                <w:rFonts w:ascii="Calibri" w:eastAsia="Calibri" w:hAnsi="Calibri" w:cs="Calibri"/>
                <w:sz w:val="20"/>
                <w:szCs w:val="20"/>
              </w:rPr>
            </w:pPr>
          </w:p>
          <w:p w14:paraId="0DAA5038" w14:textId="77777777" w:rsidR="00645437" w:rsidRDefault="00645437">
            <w:pPr>
              <w:tabs>
                <w:tab w:val="left" w:pos="7290"/>
              </w:tabs>
              <w:rPr>
                <w:rFonts w:ascii="Calibri" w:eastAsia="Calibri" w:hAnsi="Calibri" w:cs="Calibri"/>
                <w:sz w:val="20"/>
                <w:szCs w:val="20"/>
              </w:rPr>
            </w:pPr>
          </w:p>
          <w:p w14:paraId="0DAA5039" w14:textId="77777777" w:rsidR="00645437" w:rsidRDefault="00645437">
            <w:pPr>
              <w:tabs>
                <w:tab w:val="left" w:pos="7290"/>
              </w:tabs>
              <w:rPr>
                <w:rFonts w:ascii="Calibri" w:eastAsia="Calibri" w:hAnsi="Calibri" w:cs="Calibri"/>
                <w:sz w:val="20"/>
                <w:szCs w:val="20"/>
              </w:rPr>
            </w:pPr>
          </w:p>
          <w:p w14:paraId="0DAA503A" w14:textId="77777777" w:rsidR="00645437" w:rsidRDefault="00645437">
            <w:pPr>
              <w:tabs>
                <w:tab w:val="left" w:pos="7290"/>
              </w:tabs>
              <w:rPr>
                <w:rFonts w:ascii="Calibri" w:eastAsia="Calibri" w:hAnsi="Calibri" w:cs="Calibri"/>
                <w:sz w:val="20"/>
                <w:szCs w:val="20"/>
              </w:rPr>
            </w:pPr>
          </w:p>
          <w:p w14:paraId="0DAA503B" w14:textId="77777777" w:rsidR="00645437" w:rsidRDefault="00645437">
            <w:pPr>
              <w:tabs>
                <w:tab w:val="left" w:pos="7290"/>
              </w:tabs>
              <w:rPr>
                <w:rFonts w:ascii="Calibri" w:eastAsia="Calibri" w:hAnsi="Calibri" w:cs="Calibri"/>
                <w:sz w:val="20"/>
                <w:szCs w:val="20"/>
              </w:rPr>
            </w:pPr>
          </w:p>
          <w:p w14:paraId="0DAA503C" w14:textId="77777777" w:rsidR="00645437" w:rsidRDefault="00645437">
            <w:pPr>
              <w:tabs>
                <w:tab w:val="left" w:pos="7290"/>
              </w:tabs>
              <w:rPr>
                <w:rFonts w:ascii="Calibri" w:eastAsia="Calibri" w:hAnsi="Calibri" w:cs="Calibri"/>
                <w:sz w:val="20"/>
                <w:szCs w:val="20"/>
              </w:rPr>
            </w:pPr>
          </w:p>
          <w:p w14:paraId="0DAA503D" w14:textId="77777777" w:rsidR="00645437" w:rsidRDefault="00645437">
            <w:pPr>
              <w:tabs>
                <w:tab w:val="left" w:pos="7290"/>
              </w:tabs>
              <w:rPr>
                <w:rFonts w:ascii="Calibri" w:eastAsia="Calibri" w:hAnsi="Calibri" w:cs="Calibri"/>
                <w:sz w:val="20"/>
                <w:szCs w:val="20"/>
              </w:rPr>
            </w:pPr>
          </w:p>
          <w:p w14:paraId="0DAA503E" w14:textId="77777777" w:rsidR="00645437" w:rsidRDefault="00645437">
            <w:pPr>
              <w:tabs>
                <w:tab w:val="left" w:pos="7290"/>
              </w:tabs>
              <w:rPr>
                <w:rFonts w:ascii="Calibri" w:eastAsia="Calibri" w:hAnsi="Calibri" w:cs="Calibri"/>
                <w:sz w:val="20"/>
                <w:szCs w:val="20"/>
              </w:rPr>
            </w:pPr>
          </w:p>
          <w:p w14:paraId="0DAA503F" w14:textId="77777777" w:rsidR="00645437" w:rsidRDefault="00645437">
            <w:pPr>
              <w:tabs>
                <w:tab w:val="left" w:pos="7290"/>
              </w:tabs>
              <w:rPr>
                <w:rFonts w:ascii="Calibri" w:eastAsia="Calibri" w:hAnsi="Calibri" w:cs="Calibri"/>
                <w:sz w:val="20"/>
                <w:szCs w:val="20"/>
              </w:rPr>
            </w:pPr>
          </w:p>
          <w:p w14:paraId="0DAA5040" w14:textId="77777777" w:rsidR="00645437" w:rsidRDefault="00645437">
            <w:pPr>
              <w:tabs>
                <w:tab w:val="left" w:pos="7290"/>
              </w:tabs>
              <w:rPr>
                <w:rFonts w:ascii="Calibri" w:eastAsia="Calibri" w:hAnsi="Calibri" w:cs="Calibri"/>
                <w:sz w:val="20"/>
                <w:szCs w:val="20"/>
              </w:rPr>
            </w:pPr>
          </w:p>
          <w:p w14:paraId="0DAA5041" w14:textId="77777777" w:rsidR="00645437" w:rsidRDefault="00645437">
            <w:pPr>
              <w:tabs>
                <w:tab w:val="left" w:pos="7290"/>
              </w:tabs>
              <w:rPr>
                <w:rFonts w:ascii="Calibri" w:eastAsia="Calibri" w:hAnsi="Calibri" w:cs="Calibri"/>
                <w:sz w:val="20"/>
                <w:szCs w:val="20"/>
              </w:rPr>
            </w:pPr>
          </w:p>
          <w:p w14:paraId="0DAA5042" w14:textId="77777777" w:rsidR="00645437" w:rsidRDefault="00645437">
            <w:pPr>
              <w:tabs>
                <w:tab w:val="left" w:pos="7290"/>
              </w:tabs>
              <w:rPr>
                <w:rFonts w:ascii="Calibri" w:eastAsia="Calibri" w:hAnsi="Calibri" w:cs="Calibri"/>
                <w:sz w:val="20"/>
                <w:szCs w:val="20"/>
              </w:rPr>
            </w:pPr>
          </w:p>
          <w:p w14:paraId="0DAA5043" w14:textId="77777777" w:rsidR="00645437" w:rsidRDefault="00645437">
            <w:pPr>
              <w:tabs>
                <w:tab w:val="left" w:pos="7290"/>
              </w:tabs>
              <w:rPr>
                <w:rFonts w:ascii="Calibri" w:eastAsia="Calibri" w:hAnsi="Calibri" w:cs="Calibri"/>
                <w:sz w:val="20"/>
                <w:szCs w:val="20"/>
              </w:rPr>
            </w:pPr>
          </w:p>
          <w:p w14:paraId="0DAA5044" w14:textId="77777777" w:rsidR="00645437" w:rsidRDefault="00F16D00">
            <w:pPr>
              <w:tabs>
                <w:tab w:val="left" w:pos="7290"/>
              </w:tabs>
              <w:rPr>
                <w:rFonts w:ascii="Calibri" w:eastAsia="Calibri" w:hAnsi="Calibri" w:cs="Calibri"/>
                <w:sz w:val="20"/>
                <w:szCs w:val="20"/>
              </w:rPr>
            </w:pPr>
            <w:r>
              <w:rPr>
                <w:rFonts w:ascii="Calibri" w:eastAsia="Calibri" w:hAnsi="Calibri" w:cs="Calibri"/>
                <w:sz w:val="20"/>
                <w:szCs w:val="20"/>
              </w:rPr>
              <w:t>Discuss.</w:t>
            </w:r>
          </w:p>
          <w:p w14:paraId="0DAA5045" w14:textId="77777777" w:rsidR="00645437" w:rsidRDefault="00F16D00">
            <w:pPr>
              <w:tabs>
                <w:tab w:val="left" w:pos="7290"/>
              </w:tabs>
              <w:rPr>
                <w:rFonts w:ascii="Calibri" w:eastAsia="Calibri" w:hAnsi="Calibri" w:cs="Calibri"/>
                <w:sz w:val="20"/>
                <w:szCs w:val="20"/>
              </w:rPr>
            </w:pPr>
            <w:r>
              <w:rPr>
                <w:rFonts w:ascii="Calibri" w:eastAsia="Calibri" w:hAnsi="Calibri" w:cs="Calibri"/>
                <w:sz w:val="20"/>
                <w:szCs w:val="20"/>
              </w:rPr>
              <w:t xml:space="preserve">You may find there is some resistance to an “outside” person. </w:t>
            </w:r>
          </w:p>
        </w:tc>
      </w:tr>
    </w:tbl>
    <w:p w14:paraId="0DAA5047" w14:textId="77777777" w:rsidR="00645437" w:rsidRDefault="00F16D00">
      <w:r>
        <w:br w:type="page"/>
      </w:r>
    </w:p>
    <w:tbl>
      <w:tblPr>
        <w:tblStyle w:val="a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5051" w14:textId="77777777">
        <w:tc>
          <w:tcPr>
            <w:tcW w:w="990" w:type="dxa"/>
            <w:tcBorders>
              <w:top w:val="single" w:sz="4" w:space="0" w:color="000000"/>
              <w:left w:val="single" w:sz="4" w:space="0" w:color="000000"/>
              <w:bottom w:val="single" w:sz="4" w:space="0" w:color="000000"/>
              <w:right w:val="single" w:sz="4" w:space="0" w:color="000000"/>
            </w:tcBorders>
          </w:tcPr>
          <w:p w14:paraId="0DAA5048"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1 min</w:t>
            </w:r>
          </w:p>
        </w:tc>
        <w:tc>
          <w:tcPr>
            <w:tcW w:w="6570" w:type="dxa"/>
            <w:tcBorders>
              <w:top w:val="single" w:sz="4" w:space="0" w:color="000000"/>
              <w:left w:val="single" w:sz="4" w:space="0" w:color="000000"/>
              <w:bottom w:val="single" w:sz="4" w:space="0" w:color="000000"/>
              <w:right w:val="single" w:sz="4" w:space="0" w:color="000000"/>
            </w:tcBorders>
          </w:tcPr>
          <w:p w14:paraId="0DAA5049"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b/>
              </w:rPr>
              <w:t>Role of the Advocate in Providing Ongoing Care</w:t>
            </w:r>
          </w:p>
          <w:p w14:paraId="0DAA504A"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11E" wp14:editId="0DAA511F">
                  <wp:extent cx="2807208" cy="2103120"/>
                  <wp:effectExtent l="38100" t="38100" r="38100" b="38100"/>
                  <wp:docPr id="10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504B" w14:textId="77777777" w:rsidR="00645437" w:rsidRDefault="00645437">
            <w:pPr>
              <w:tabs>
                <w:tab w:val="left" w:pos="7290"/>
              </w:tabs>
              <w:spacing w:line="276" w:lineRule="auto"/>
              <w:jc w:val="center"/>
              <w:rPr>
                <w:rFonts w:ascii="Calibri" w:eastAsia="Calibri" w:hAnsi="Calibri" w:cs="Calibri"/>
              </w:rPr>
            </w:pPr>
          </w:p>
          <w:p w14:paraId="0DAA504C"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Victim advocates will remain in contact with the victim to assist in managing the long-term impact of trauma and to allow the victim to participate more fully in the investigative process.</w:t>
            </w:r>
          </w:p>
          <w:p w14:paraId="0DAA504D" w14:textId="77777777" w:rsidR="00645437" w:rsidRDefault="00645437">
            <w:pPr>
              <w:tabs>
                <w:tab w:val="left" w:pos="7290"/>
              </w:tabs>
              <w:spacing w:line="276" w:lineRule="auto"/>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0DAA504E"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20" wp14:editId="0DAA5121">
                  <wp:extent cx="438150" cy="298450"/>
                  <wp:effectExtent l="0" t="0" r="0" b="0"/>
                  <wp:docPr id="1072"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4F" w14:textId="77777777" w:rsidR="00645437" w:rsidRDefault="00F16D00">
            <w:pPr>
              <w:tabs>
                <w:tab w:val="left" w:pos="7290"/>
              </w:tabs>
              <w:rPr>
                <w:rFonts w:ascii="Calibri" w:eastAsia="Calibri" w:hAnsi="Calibri" w:cs="Calibri"/>
                <w:sz w:val="20"/>
                <w:szCs w:val="20"/>
              </w:rPr>
            </w:pPr>
            <w:r>
              <w:rPr>
                <w:rFonts w:ascii="Calibri" w:eastAsia="Calibri" w:hAnsi="Calibri" w:cs="Calibri"/>
                <w:b/>
                <w:sz w:val="20"/>
                <w:szCs w:val="20"/>
              </w:rPr>
              <w:t xml:space="preserve">Role of the Advocate in </w:t>
            </w:r>
            <w:r>
              <w:rPr>
                <w:rFonts w:ascii="Calibri" w:eastAsia="Calibri" w:hAnsi="Calibri" w:cs="Calibri"/>
                <w:b/>
                <w:sz w:val="20"/>
                <w:szCs w:val="20"/>
              </w:rPr>
              <w:br/>
              <w:t>Providing Ongoing Care</w:t>
            </w:r>
          </w:p>
          <w:p w14:paraId="0DAA5050" w14:textId="77777777" w:rsidR="00645437" w:rsidRDefault="00645437">
            <w:pPr>
              <w:tabs>
                <w:tab w:val="left" w:pos="7290"/>
              </w:tabs>
              <w:rPr>
                <w:rFonts w:ascii="Calibri" w:eastAsia="Calibri" w:hAnsi="Calibri" w:cs="Calibri"/>
                <w:sz w:val="20"/>
                <w:szCs w:val="20"/>
              </w:rPr>
            </w:pPr>
          </w:p>
        </w:tc>
      </w:tr>
      <w:tr w:rsidR="00645437" w14:paraId="0DAA505B" w14:textId="77777777">
        <w:tc>
          <w:tcPr>
            <w:tcW w:w="990" w:type="dxa"/>
            <w:tcBorders>
              <w:top w:val="single" w:sz="4" w:space="0" w:color="000000"/>
              <w:left w:val="single" w:sz="4" w:space="0" w:color="000000"/>
              <w:bottom w:val="single" w:sz="4" w:space="0" w:color="000000"/>
              <w:right w:val="single" w:sz="4" w:space="0" w:color="000000"/>
            </w:tcBorders>
          </w:tcPr>
          <w:p w14:paraId="0DAA5052" w14:textId="77777777" w:rsidR="00645437" w:rsidRDefault="00F16D00">
            <w:pPr>
              <w:tabs>
                <w:tab w:val="left" w:pos="7290"/>
              </w:tabs>
              <w:jc w:val="center"/>
              <w:rPr>
                <w:rFonts w:ascii="Calibri" w:eastAsia="Calibri" w:hAnsi="Calibri" w:cs="Calibri"/>
                <w:b/>
              </w:rPr>
            </w:pPr>
            <w:r>
              <w:rPr>
                <w:rFonts w:ascii="Calibri" w:eastAsia="Calibri" w:hAnsi="Calibri" w:cs="Calibri"/>
                <w:b/>
              </w:rPr>
              <w:t>5 min</w:t>
            </w:r>
          </w:p>
        </w:tc>
        <w:tc>
          <w:tcPr>
            <w:tcW w:w="6570" w:type="dxa"/>
            <w:tcBorders>
              <w:top w:val="single" w:sz="4" w:space="0" w:color="000000"/>
              <w:left w:val="single" w:sz="4" w:space="0" w:color="000000"/>
              <w:bottom w:val="single" w:sz="4" w:space="0" w:color="000000"/>
              <w:right w:val="single" w:sz="4" w:space="0" w:color="000000"/>
            </w:tcBorders>
          </w:tcPr>
          <w:p w14:paraId="0DAA5053"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Victim Advocates and Confidentiality</w:t>
            </w:r>
          </w:p>
          <w:p w14:paraId="0DAA5054" w14:textId="77777777" w:rsidR="00645437" w:rsidRDefault="00F16D00">
            <w:pPr>
              <w:tabs>
                <w:tab w:val="left" w:pos="7290"/>
              </w:tabs>
              <w:spacing w:line="276" w:lineRule="auto"/>
              <w:jc w:val="center"/>
              <w:rPr>
                <w:rFonts w:ascii="Calibri" w:eastAsia="Calibri" w:hAnsi="Calibri" w:cs="Calibri"/>
              </w:rPr>
            </w:pPr>
            <w:r>
              <w:rPr>
                <w:rFonts w:ascii="Calibri" w:eastAsia="Calibri" w:hAnsi="Calibri" w:cs="Calibri"/>
                <w:noProof/>
              </w:rPr>
              <w:drawing>
                <wp:inline distT="0" distB="0" distL="0" distR="0" wp14:anchorId="0DAA5122" wp14:editId="0DAA5123">
                  <wp:extent cx="2807208" cy="2103120"/>
                  <wp:effectExtent l="38100" t="38100" r="38100" b="38100"/>
                  <wp:docPr id="107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5055"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States vary in the legal requirements that exist around victim advocates, but many have specific educational requirements. In general, though, do not ask advocates to disclose information from their conversations with victims.</w:t>
            </w:r>
          </w:p>
        </w:tc>
        <w:tc>
          <w:tcPr>
            <w:tcW w:w="1800" w:type="dxa"/>
            <w:tcBorders>
              <w:top w:val="single" w:sz="4" w:space="0" w:color="000000"/>
              <w:left w:val="single" w:sz="4" w:space="0" w:color="000000"/>
              <w:bottom w:val="single" w:sz="4" w:space="0" w:color="000000"/>
              <w:right w:val="single" w:sz="4" w:space="0" w:color="000000"/>
            </w:tcBorders>
          </w:tcPr>
          <w:p w14:paraId="0DAA5056"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24" wp14:editId="0DAA5125">
                  <wp:extent cx="438150" cy="298450"/>
                  <wp:effectExtent l="0" t="0" r="0" b="0"/>
                  <wp:docPr id="1074"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57"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Victim Advocates and Confidentiality</w:t>
            </w:r>
          </w:p>
          <w:p w14:paraId="0DAA5058" w14:textId="77777777" w:rsidR="00645437" w:rsidRDefault="00645437">
            <w:pPr>
              <w:tabs>
                <w:tab w:val="left" w:pos="7290"/>
              </w:tabs>
              <w:rPr>
                <w:rFonts w:ascii="Calibri" w:eastAsia="Calibri" w:hAnsi="Calibri" w:cs="Calibri"/>
                <w:b/>
                <w:sz w:val="20"/>
                <w:szCs w:val="20"/>
              </w:rPr>
            </w:pPr>
          </w:p>
          <w:p w14:paraId="0DAA5059" w14:textId="0607DC90" w:rsidR="00645437" w:rsidRDefault="00F16D00">
            <w:pPr>
              <w:tabs>
                <w:tab w:val="left" w:pos="7290"/>
              </w:tabs>
              <w:rPr>
                <w:rFonts w:ascii="Calibri" w:eastAsia="Calibri" w:hAnsi="Calibri" w:cs="Calibri"/>
                <w:b/>
                <w:sz w:val="20"/>
                <w:szCs w:val="20"/>
              </w:rPr>
            </w:pPr>
            <w:r>
              <w:rPr>
                <w:rFonts w:ascii="Calibri" w:eastAsia="Calibri" w:hAnsi="Calibri" w:cs="Calibri"/>
                <w:color w:val="FF0000"/>
                <w:sz w:val="20"/>
                <w:szCs w:val="20"/>
              </w:rPr>
              <w:t>Insert information on agency victim advocate role and services here</w:t>
            </w:r>
            <w:r w:rsidR="00FA2076">
              <w:rPr>
                <w:rFonts w:ascii="Calibri" w:eastAsia="Calibri" w:hAnsi="Calibri" w:cs="Calibri"/>
                <w:color w:val="FF0000"/>
                <w:sz w:val="20"/>
                <w:szCs w:val="20"/>
              </w:rPr>
              <w:t>.</w:t>
            </w:r>
          </w:p>
          <w:p w14:paraId="0DAA505A" w14:textId="77777777" w:rsidR="00645437" w:rsidRDefault="00645437">
            <w:pPr>
              <w:tabs>
                <w:tab w:val="left" w:pos="7290"/>
              </w:tabs>
              <w:rPr>
                <w:rFonts w:ascii="Calibri" w:eastAsia="Calibri" w:hAnsi="Calibri" w:cs="Calibri"/>
                <w:sz w:val="20"/>
                <w:szCs w:val="20"/>
              </w:rPr>
            </w:pPr>
          </w:p>
        </w:tc>
      </w:tr>
    </w:tbl>
    <w:p w14:paraId="0DAA505C" w14:textId="77777777" w:rsidR="00645437" w:rsidRDefault="00F16D00">
      <w:r>
        <w:br w:type="page"/>
      </w:r>
    </w:p>
    <w:tbl>
      <w:tblPr>
        <w:tblStyle w:val="ab"/>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70"/>
        <w:gridCol w:w="1800"/>
      </w:tblGrid>
      <w:tr w:rsidR="00645437" w14:paraId="0DAA5064" w14:textId="77777777">
        <w:tc>
          <w:tcPr>
            <w:tcW w:w="990" w:type="dxa"/>
            <w:tcBorders>
              <w:top w:val="single" w:sz="4" w:space="0" w:color="000000"/>
              <w:left w:val="single" w:sz="4" w:space="0" w:color="000000"/>
              <w:bottom w:val="single" w:sz="4" w:space="0" w:color="000000"/>
              <w:right w:val="single" w:sz="4" w:space="0" w:color="000000"/>
            </w:tcBorders>
          </w:tcPr>
          <w:p w14:paraId="0DAA505D" w14:textId="77777777" w:rsidR="00645437" w:rsidRDefault="00F16D00">
            <w:pPr>
              <w:tabs>
                <w:tab w:val="left" w:pos="7290"/>
              </w:tabs>
              <w:jc w:val="center"/>
              <w:rPr>
                <w:rFonts w:ascii="Calibri" w:eastAsia="Calibri" w:hAnsi="Calibri" w:cs="Calibri"/>
                <w:b/>
              </w:rPr>
            </w:pPr>
            <w:r>
              <w:rPr>
                <w:rFonts w:ascii="Calibri" w:eastAsia="Calibri" w:hAnsi="Calibri" w:cs="Calibri"/>
                <w:b/>
              </w:rPr>
              <w:lastRenderedPageBreak/>
              <w:t>5 min</w:t>
            </w:r>
          </w:p>
        </w:tc>
        <w:tc>
          <w:tcPr>
            <w:tcW w:w="6570" w:type="dxa"/>
            <w:tcBorders>
              <w:top w:val="single" w:sz="4" w:space="0" w:color="000000"/>
              <w:left w:val="single" w:sz="4" w:space="0" w:color="000000"/>
              <w:bottom w:val="single" w:sz="4" w:space="0" w:color="000000"/>
              <w:right w:val="single" w:sz="4" w:space="0" w:color="000000"/>
            </w:tcBorders>
            <w:shd w:val="clear" w:color="auto" w:fill="auto"/>
          </w:tcPr>
          <w:p w14:paraId="0DAA505E"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rPr>
              <w:t>The Benefits of Advocates</w:t>
            </w:r>
          </w:p>
          <w:p w14:paraId="0DAA505F" w14:textId="77777777" w:rsidR="00645437" w:rsidRDefault="00F16D00">
            <w:pPr>
              <w:tabs>
                <w:tab w:val="left" w:pos="7290"/>
              </w:tabs>
              <w:spacing w:line="276" w:lineRule="auto"/>
              <w:jc w:val="center"/>
              <w:rPr>
                <w:rFonts w:ascii="Calibri" w:eastAsia="Calibri" w:hAnsi="Calibri" w:cs="Calibri"/>
                <w:b/>
              </w:rPr>
            </w:pPr>
            <w:r>
              <w:rPr>
                <w:rFonts w:ascii="Calibri" w:eastAsia="Calibri" w:hAnsi="Calibri" w:cs="Calibri"/>
                <w:b/>
                <w:noProof/>
              </w:rPr>
              <w:drawing>
                <wp:inline distT="0" distB="0" distL="0" distR="0" wp14:anchorId="0DAA5126" wp14:editId="0DAA5127">
                  <wp:extent cx="2807208" cy="2103120"/>
                  <wp:effectExtent l="38100" t="38100" r="38100" b="38100"/>
                  <wp:docPr id="11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9"/>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DAA5060" w14:textId="77777777" w:rsidR="00645437" w:rsidRDefault="00F16D00">
            <w:pPr>
              <w:tabs>
                <w:tab w:val="left" w:pos="7290"/>
              </w:tabs>
              <w:spacing w:line="276" w:lineRule="auto"/>
              <w:rPr>
                <w:rFonts w:ascii="Calibri" w:eastAsia="Calibri" w:hAnsi="Calibri" w:cs="Calibri"/>
              </w:rPr>
            </w:pPr>
            <w:r>
              <w:rPr>
                <w:rFonts w:ascii="Calibri" w:eastAsia="Calibri" w:hAnsi="Calibri" w:cs="Calibri"/>
              </w:rPr>
              <w:t xml:space="preserve">To reiterate, investigators should view victim advocates as potential partners who can benefit the investigative process and make the investigator’s job easier. </w:t>
            </w:r>
          </w:p>
        </w:tc>
        <w:tc>
          <w:tcPr>
            <w:tcW w:w="1800" w:type="dxa"/>
            <w:tcBorders>
              <w:top w:val="single" w:sz="4" w:space="0" w:color="000000"/>
              <w:left w:val="single" w:sz="4" w:space="0" w:color="000000"/>
              <w:bottom w:val="single" w:sz="4" w:space="0" w:color="000000"/>
              <w:right w:val="single" w:sz="4" w:space="0" w:color="000000"/>
            </w:tcBorders>
          </w:tcPr>
          <w:p w14:paraId="0DAA5061"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28" wp14:editId="0DAA5129">
                  <wp:extent cx="438150" cy="298450"/>
                  <wp:effectExtent l="0" t="0" r="0" b="0"/>
                  <wp:docPr id="1111"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p w14:paraId="0DAA5062" w14:textId="77777777" w:rsidR="00645437" w:rsidRDefault="00F16D00">
            <w:pPr>
              <w:tabs>
                <w:tab w:val="left" w:pos="7290"/>
              </w:tabs>
              <w:rPr>
                <w:rFonts w:ascii="Calibri" w:eastAsia="Calibri" w:hAnsi="Calibri" w:cs="Calibri"/>
                <w:b/>
                <w:sz w:val="20"/>
                <w:szCs w:val="20"/>
              </w:rPr>
            </w:pPr>
            <w:r>
              <w:rPr>
                <w:rFonts w:ascii="Calibri" w:eastAsia="Calibri" w:hAnsi="Calibri" w:cs="Calibri"/>
                <w:b/>
                <w:sz w:val="20"/>
                <w:szCs w:val="20"/>
              </w:rPr>
              <w:t>The Benefits of Advocates</w:t>
            </w:r>
          </w:p>
          <w:p w14:paraId="0DAA5063" w14:textId="77777777" w:rsidR="00645437" w:rsidRDefault="00645437">
            <w:pPr>
              <w:tabs>
                <w:tab w:val="left" w:pos="7290"/>
              </w:tabs>
              <w:rPr>
                <w:rFonts w:ascii="Calibri" w:eastAsia="Calibri" w:hAnsi="Calibri" w:cs="Calibri"/>
                <w:sz w:val="20"/>
                <w:szCs w:val="20"/>
              </w:rPr>
            </w:pPr>
          </w:p>
        </w:tc>
      </w:tr>
      <w:tr w:rsidR="00645437" w14:paraId="0DAA5068" w14:textId="77777777">
        <w:tc>
          <w:tcPr>
            <w:tcW w:w="990" w:type="dxa"/>
            <w:tcBorders>
              <w:top w:val="single" w:sz="4" w:space="0" w:color="000000"/>
              <w:left w:val="single" w:sz="4" w:space="0" w:color="000000"/>
              <w:bottom w:val="single" w:sz="4" w:space="0" w:color="000000"/>
              <w:right w:val="single" w:sz="4" w:space="0" w:color="000000"/>
            </w:tcBorders>
          </w:tcPr>
          <w:p w14:paraId="0DAA5065" w14:textId="77777777" w:rsidR="00645437" w:rsidRDefault="00645437">
            <w:pPr>
              <w:tabs>
                <w:tab w:val="left" w:pos="7290"/>
              </w:tabs>
              <w:jc w:val="center"/>
              <w:rPr>
                <w:rFonts w:ascii="Calibri" w:eastAsia="Calibri" w:hAnsi="Calibri" w:cs="Calibri"/>
                <w:b/>
              </w:rPr>
            </w:pPr>
          </w:p>
        </w:tc>
        <w:tc>
          <w:tcPr>
            <w:tcW w:w="6570" w:type="dxa"/>
            <w:tcBorders>
              <w:top w:val="single" w:sz="4" w:space="0" w:color="000000"/>
              <w:left w:val="single" w:sz="4" w:space="0" w:color="000000"/>
              <w:bottom w:val="single" w:sz="4" w:space="0" w:color="000000"/>
              <w:right w:val="single" w:sz="4" w:space="0" w:color="000000"/>
            </w:tcBorders>
            <w:shd w:val="clear" w:color="auto" w:fill="auto"/>
          </w:tcPr>
          <w:p w14:paraId="0DAA5066" w14:textId="77777777" w:rsidR="00645437" w:rsidRDefault="00000000">
            <w:pPr>
              <w:tabs>
                <w:tab w:val="left" w:pos="7290"/>
              </w:tabs>
              <w:spacing w:line="276" w:lineRule="auto"/>
              <w:rPr>
                <w:rFonts w:ascii="Calibri" w:eastAsia="Calibri" w:hAnsi="Calibri" w:cs="Calibri"/>
                <w:b/>
              </w:rPr>
            </w:pPr>
            <w:sdt>
              <w:sdtPr>
                <w:tag w:val="goog_rdk_0"/>
                <w:id w:val="804973837"/>
              </w:sdtPr>
              <w:sdtContent/>
            </w:sdt>
            <w:r w:rsidR="00F16D00">
              <w:rPr>
                <w:rFonts w:ascii="Calibri" w:eastAsia="Calibri" w:hAnsi="Calibri" w:cs="Calibri"/>
                <w:b/>
              </w:rPr>
              <w:t>Questions?</w:t>
            </w:r>
          </w:p>
        </w:tc>
        <w:tc>
          <w:tcPr>
            <w:tcW w:w="1800" w:type="dxa"/>
            <w:tcBorders>
              <w:top w:val="single" w:sz="4" w:space="0" w:color="000000"/>
              <w:left w:val="single" w:sz="4" w:space="0" w:color="000000"/>
              <w:bottom w:val="single" w:sz="4" w:space="0" w:color="000000"/>
              <w:right w:val="single" w:sz="4" w:space="0" w:color="000000"/>
            </w:tcBorders>
          </w:tcPr>
          <w:p w14:paraId="0DAA5067" w14:textId="77777777" w:rsidR="00645437" w:rsidRDefault="00F16D00">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DAA512A" wp14:editId="0DAA512B">
                  <wp:extent cx="438150" cy="298450"/>
                  <wp:effectExtent l="0" t="0" r="0" b="0"/>
                  <wp:docPr id="1113" name="image9.png" descr="BS00305_"/>
                  <wp:cNvGraphicFramePr/>
                  <a:graphic xmlns:a="http://schemas.openxmlformats.org/drawingml/2006/main">
                    <a:graphicData uri="http://schemas.openxmlformats.org/drawingml/2006/picture">
                      <pic:pic xmlns:pic="http://schemas.openxmlformats.org/drawingml/2006/picture">
                        <pic:nvPicPr>
                          <pic:cNvPr id="0" name="image9.png" descr="BS00305_"/>
                          <pic:cNvPicPr preferRelativeResize="0"/>
                        </pic:nvPicPr>
                        <pic:blipFill>
                          <a:blip r:embed="rId13"/>
                          <a:srcRect/>
                          <a:stretch>
                            <a:fillRect/>
                          </a:stretch>
                        </pic:blipFill>
                        <pic:spPr>
                          <a:xfrm>
                            <a:off x="0" y="0"/>
                            <a:ext cx="438150" cy="298450"/>
                          </a:xfrm>
                          <a:prstGeom prst="rect">
                            <a:avLst/>
                          </a:prstGeom>
                          <a:ln/>
                        </pic:spPr>
                      </pic:pic>
                    </a:graphicData>
                  </a:graphic>
                </wp:inline>
              </w:drawing>
            </w:r>
          </w:p>
        </w:tc>
      </w:tr>
    </w:tbl>
    <w:p w14:paraId="0DAA5069" w14:textId="77777777" w:rsidR="00645437" w:rsidRDefault="00645437">
      <w:pPr>
        <w:rPr>
          <w:rFonts w:ascii="Calibri" w:eastAsia="Calibri" w:hAnsi="Calibri" w:cs="Calibri"/>
        </w:rPr>
      </w:pPr>
    </w:p>
    <w:sectPr w:rsidR="00645437">
      <w:headerReference w:type="default" r:id="rId60"/>
      <w:footerReference w:type="default" r:id="rId61"/>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05A54" w14:textId="77777777" w:rsidR="003C425F" w:rsidRDefault="003C425F">
      <w:r>
        <w:separator/>
      </w:r>
    </w:p>
  </w:endnote>
  <w:endnote w:type="continuationSeparator" w:id="0">
    <w:p w14:paraId="0C32F629" w14:textId="77777777" w:rsidR="003C425F" w:rsidRDefault="003C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Quattrocento Sans">
    <w:altName w:val="Calibri"/>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5133" w14:textId="77777777" w:rsidR="00645437" w:rsidRDefault="00F16D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10080F">
      <w:rPr>
        <w:rFonts w:ascii="Calibri" w:eastAsia="Calibri" w:hAnsi="Calibri" w:cs="Calibri"/>
        <w:noProof/>
        <w:color w:val="000000"/>
      </w:rPr>
      <w:t>1</w:t>
    </w:r>
    <w:r>
      <w:rPr>
        <w:rFonts w:ascii="Calibri" w:eastAsia="Calibri" w:hAnsi="Calibri" w:cs="Calibri"/>
        <w:color w:val="000000"/>
      </w:rPr>
      <w:fldChar w:fldCharType="end"/>
    </w:r>
  </w:p>
  <w:p w14:paraId="0DAA5134" w14:textId="77777777" w:rsidR="00645437" w:rsidRDefault="00F16D00">
    <w:pPr>
      <w:rPr>
        <w:rFonts w:ascii="Calibri" w:eastAsia="Calibri" w:hAnsi="Calibri" w:cs="Calibri"/>
        <w:color w:val="000000"/>
        <w:sz w:val="12"/>
        <w:szCs w:val="12"/>
      </w:rPr>
    </w:pPr>
    <w:r>
      <w:rPr>
        <w:rFonts w:ascii="Calibri" w:eastAsia="Calibri" w:hAnsi="Calibri" w:cs="Calibri"/>
        <w:b/>
        <w:i/>
        <w:color w:val="000000"/>
        <w:sz w:val="12"/>
        <w:szCs w:val="12"/>
      </w:rPr>
      <w:t>Notice of Federal Funding and Federal Disclaimer </w:t>
    </w:r>
    <w:r>
      <w:rPr>
        <w:rFonts w:ascii="Calibri" w:eastAsia="Calibri" w:hAnsi="Calibri" w:cs="Calibri"/>
        <w:i/>
        <w:color w:val="000000"/>
        <w:sz w:val="12"/>
        <w:szCs w:val="12"/>
      </w:rPr>
      <w:t>– This project was supported by Grant No. 2010-RP-BX-K001 and updated by Grant No. 2019-RP-BX-K002 awarded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nor those of Impact Justice (IJ), which administers the National PREA Resource Center through a cooperative agreement with the Bureau of Justice Assistance. </w:t>
    </w:r>
  </w:p>
  <w:p w14:paraId="0DAA5135" w14:textId="77777777" w:rsidR="00645437" w:rsidRDefault="00645437">
    <w:pPr>
      <w:pBdr>
        <w:top w:val="nil"/>
        <w:left w:val="nil"/>
        <w:bottom w:val="nil"/>
        <w:right w:val="nil"/>
        <w:between w:val="nil"/>
      </w:pBdr>
      <w:tabs>
        <w:tab w:val="center" w:pos="4680"/>
        <w:tab w:val="right" w:pos="9360"/>
      </w:tabs>
      <w:jc w:val="center"/>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5138" w14:textId="77777777" w:rsidR="00645437" w:rsidRDefault="00F16D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10080F">
      <w:rPr>
        <w:rFonts w:ascii="Calibri" w:eastAsia="Calibri" w:hAnsi="Calibri" w:cs="Calibri"/>
        <w:noProof/>
        <w:color w:val="000000"/>
      </w:rPr>
      <w:t>3</w:t>
    </w:r>
    <w:r>
      <w:rPr>
        <w:rFonts w:ascii="Calibri" w:eastAsia="Calibri" w:hAnsi="Calibri" w:cs="Calibri"/>
        <w:color w:val="000000"/>
      </w:rPr>
      <w:fldChar w:fldCharType="end"/>
    </w:r>
  </w:p>
  <w:p w14:paraId="0DAA5139" w14:textId="77777777" w:rsidR="00645437" w:rsidRDefault="00645437">
    <w:pPr>
      <w:rPr>
        <w:rFonts w:ascii="Calibri" w:eastAsia="Calibri" w:hAnsi="Calibri" w:cs="Calibri"/>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2A630" w14:textId="77777777" w:rsidR="003C425F" w:rsidRDefault="003C425F">
      <w:r>
        <w:separator/>
      </w:r>
    </w:p>
  </w:footnote>
  <w:footnote w:type="continuationSeparator" w:id="0">
    <w:p w14:paraId="490922B5" w14:textId="77777777" w:rsidR="003C425F" w:rsidRDefault="003C4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5131" w14:textId="77777777" w:rsidR="00645437" w:rsidRDefault="00F16D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0DAA513A" wp14:editId="0DAA513B">
          <wp:extent cx="1200150" cy="1200150"/>
          <wp:effectExtent l="0" t="0" r="0" b="0"/>
          <wp:docPr id="1115" name="image47.jpg"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47.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0DAA513C" wp14:editId="0DAA513D">
          <wp:extent cx="2721552" cy="387553"/>
          <wp:effectExtent l="0" t="0" r="0" b="0"/>
          <wp:docPr id="1117" name="image31.png"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31.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p>
  <w:p w14:paraId="0DAA5132" w14:textId="77777777" w:rsidR="00645437" w:rsidRDefault="0064543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5136" w14:textId="77777777" w:rsidR="00645437" w:rsidRDefault="00645437">
    <w:pPr>
      <w:pBdr>
        <w:top w:val="nil"/>
        <w:left w:val="nil"/>
        <w:bottom w:val="nil"/>
        <w:right w:val="nil"/>
        <w:between w:val="nil"/>
      </w:pBdr>
      <w:tabs>
        <w:tab w:val="center" w:pos="4320"/>
        <w:tab w:val="right" w:pos="8640"/>
      </w:tabs>
      <w:rPr>
        <w:color w:val="000000"/>
      </w:rPr>
    </w:pPr>
  </w:p>
  <w:p w14:paraId="0DAA5137" w14:textId="77777777" w:rsidR="00645437" w:rsidRDefault="0064543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C56"/>
    <w:multiLevelType w:val="multilevel"/>
    <w:tmpl w:val="96D84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521C1"/>
    <w:multiLevelType w:val="multilevel"/>
    <w:tmpl w:val="1D20A2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04D16C19"/>
    <w:multiLevelType w:val="multilevel"/>
    <w:tmpl w:val="93D62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255A18"/>
    <w:multiLevelType w:val="multilevel"/>
    <w:tmpl w:val="1F683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6868E1"/>
    <w:multiLevelType w:val="multilevel"/>
    <w:tmpl w:val="95149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A73D33"/>
    <w:multiLevelType w:val="multilevel"/>
    <w:tmpl w:val="21B44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356E7788"/>
    <w:multiLevelType w:val="multilevel"/>
    <w:tmpl w:val="B9EC1E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4894251A"/>
    <w:multiLevelType w:val="multilevel"/>
    <w:tmpl w:val="3BDA70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7CB27980"/>
    <w:multiLevelType w:val="multilevel"/>
    <w:tmpl w:val="0E007F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15:restartNumberingAfterBreak="0">
    <w:nsid w:val="7F5C45FB"/>
    <w:multiLevelType w:val="multilevel"/>
    <w:tmpl w:val="BF304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8529738">
    <w:abstractNumId w:val="9"/>
  </w:num>
  <w:num w:numId="2" w16cid:durableId="197820051">
    <w:abstractNumId w:val="1"/>
  </w:num>
  <w:num w:numId="3" w16cid:durableId="1950962970">
    <w:abstractNumId w:val="7"/>
  </w:num>
  <w:num w:numId="4" w16cid:durableId="452752749">
    <w:abstractNumId w:val="8"/>
  </w:num>
  <w:num w:numId="5" w16cid:durableId="1103694783">
    <w:abstractNumId w:val="0"/>
  </w:num>
  <w:num w:numId="6" w16cid:durableId="711852875">
    <w:abstractNumId w:val="5"/>
  </w:num>
  <w:num w:numId="7" w16cid:durableId="1373656433">
    <w:abstractNumId w:val="3"/>
  </w:num>
  <w:num w:numId="8" w16cid:durableId="513492780">
    <w:abstractNumId w:val="2"/>
  </w:num>
  <w:num w:numId="9" w16cid:durableId="121264580">
    <w:abstractNumId w:val="6"/>
  </w:num>
  <w:num w:numId="10" w16cid:durableId="2014722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437"/>
    <w:rsid w:val="00020A16"/>
    <w:rsid w:val="0010080F"/>
    <w:rsid w:val="001B2478"/>
    <w:rsid w:val="001F1686"/>
    <w:rsid w:val="00325394"/>
    <w:rsid w:val="0033717D"/>
    <w:rsid w:val="003878AE"/>
    <w:rsid w:val="003C425F"/>
    <w:rsid w:val="004B74AC"/>
    <w:rsid w:val="00516625"/>
    <w:rsid w:val="00645437"/>
    <w:rsid w:val="00662730"/>
    <w:rsid w:val="00664057"/>
    <w:rsid w:val="007A443B"/>
    <w:rsid w:val="009F1A7C"/>
    <w:rsid w:val="00A05002"/>
    <w:rsid w:val="00BC7E77"/>
    <w:rsid w:val="00E91761"/>
    <w:rsid w:val="00F16D00"/>
    <w:rsid w:val="00F7266C"/>
    <w:rsid w:val="00F77945"/>
    <w:rsid w:val="00FA2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A4E41"/>
  <w15:docId w15:val="{E416EB3B-EBE5-4443-BDA6-A4075EF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AA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F27AAA"/>
    <w:rPr>
      <w:color w:val="0000FF"/>
      <w:u w:val="single"/>
    </w:rPr>
  </w:style>
  <w:style w:type="paragraph" w:styleId="Header">
    <w:name w:val="header"/>
    <w:basedOn w:val="Normal"/>
    <w:link w:val="HeaderChar"/>
    <w:uiPriority w:val="99"/>
    <w:rsid w:val="00F27AAA"/>
    <w:pPr>
      <w:tabs>
        <w:tab w:val="center" w:pos="4320"/>
        <w:tab w:val="right" w:pos="8640"/>
      </w:tabs>
    </w:pPr>
  </w:style>
  <w:style w:type="character" w:customStyle="1" w:styleId="HeaderChar">
    <w:name w:val="Header Char"/>
    <w:basedOn w:val="DefaultParagraphFont"/>
    <w:link w:val="Header"/>
    <w:uiPriority w:val="99"/>
    <w:rsid w:val="00F27AAA"/>
    <w:rPr>
      <w:rFonts w:ascii="Times New Roman" w:eastAsia="Times New Roman" w:hAnsi="Times New Roman" w:cs="Times New Roman"/>
      <w:sz w:val="24"/>
      <w:szCs w:val="24"/>
    </w:rPr>
  </w:style>
  <w:style w:type="paragraph" w:styleId="NormalWeb">
    <w:name w:val="Normal (Web)"/>
    <w:basedOn w:val="Normal"/>
    <w:uiPriority w:val="99"/>
    <w:unhideWhenUsed/>
    <w:rsid w:val="00F27AAA"/>
    <w:pPr>
      <w:spacing w:before="100" w:beforeAutospacing="1" w:after="100" w:afterAutospacing="1"/>
    </w:pPr>
  </w:style>
  <w:style w:type="paragraph" w:styleId="BalloonText">
    <w:name w:val="Balloon Text"/>
    <w:basedOn w:val="Normal"/>
    <w:link w:val="BalloonTextChar"/>
    <w:uiPriority w:val="99"/>
    <w:semiHidden/>
    <w:unhideWhenUsed/>
    <w:rsid w:val="00F27AAA"/>
    <w:rPr>
      <w:rFonts w:ascii="Tahoma" w:hAnsi="Tahoma" w:cs="Tahoma"/>
      <w:sz w:val="16"/>
      <w:szCs w:val="16"/>
    </w:rPr>
  </w:style>
  <w:style w:type="character" w:customStyle="1" w:styleId="BalloonTextChar">
    <w:name w:val="Balloon Text Char"/>
    <w:basedOn w:val="DefaultParagraphFont"/>
    <w:link w:val="BalloonText"/>
    <w:uiPriority w:val="99"/>
    <w:semiHidden/>
    <w:rsid w:val="00F27AAA"/>
    <w:rPr>
      <w:rFonts w:ascii="Tahoma" w:eastAsia="Times New Roman" w:hAnsi="Tahoma" w:cs="Tahoma"/>
      <w:sz w:val="16"/>
      <w:szCs w:val="16"/>
    </w:rPr>
  </w:style>
  <w:style w:type="paragraph" w:styleId="ListParagraph">
    <w:name w:val="List Paragraph"/>
    <w:basedOn w:val="Normal"/>
    <w:uiPriority w:val="34"/>
    <w:qFormat/>
    <w:rsid w:val="009950F7"/>
    <w:pPr>
      <w:ind w:left="720"/>
      <w:contextualSpacing/>
    </w:pPr>
  </w:style>
  <w:style w:type="paragraph" w:styleId="Footer">
    <w:name w:val="footer"/>
    <w:basedOn w:val="Normal"/>
    <w:link w:val="FooterChar"/>
    <w:uiPriority w:val="99"/>
    <w:unhideWhenUsed/>
    <w:rsid w:val="00E752C4"/>
    <w:pPr>
      <w:tabs>
        <w:tab w:val="center" w:pos="4680"/>
        <w:tab w:val="right" w:pos="9360"/>
      </w:tabs>
    </w:pPr>
  </w:style>
  <w:style w:type="character" w:customStyle="1" w:styleId="FooterChar">
    <w:name w:val="Footer Char"/>
    <w:basedOn w:val="DefaultParagraphFont"/>
    <w:link w:val="Footer"/>
    <w:uiPriority w:val="99"/>
    <w:rsid w:val="00E752C4"/>
    <w:rPr>
      <w:rFonts w:ascii="Times New Roman" w:eastAsia="Times New Roman" w:hAnsi="Times New Roman" w:cs="Times New Roman"/>
      <w:sz w:val="24"/>
      <w:szCs w:val="24"/>
    </w:rPr>
  </w:style>
  <w:style w:type="paragraph" w:styleId="NoSpacing">
    <w:name w:val="No Spacing"/>
    <w:uiPriority w:val="1"/>
    <w:qFormat/>
    <w:rsid w:val="000D05D6"/>
  </w:style>
  <w:style w:type="character" w:styleId="CommentReference">
    <w:name w:val="annotation reference"/>
    <w:basedOn w:val="DefaultParagraphFont"/>
    <w:uiPriority w:val="99"/>
    <w:semiHidden/>
    <w:unhideWhenUsed/>
    <w:rsid w:val="00F17A5C"/>
    <w:rPr>
      <w:sz w:val="16"/>
      <w:szCs w:val="16"/>
    </w:rPr>
  </w:style>
  <w:style w:type="paragraph" w:styleId="CommentText">
    <w:name w:val="annotation text"/>
    <w:basedOn w:val="Normal"/>
    <w:link w:val="CommentTextChar"/>
    <w:uiPriority w:val="99"/>
    <w:unhideWhenUsed/>
    <w:rsid w:val="00F17A5C"/>
    <w:rPr>
      <w:sz w:val="20"/>
      <w:szCs w:val="20"/>
    </w:rPr>
  </w:style>
  <w:style w:type="character" w:customStyle="1" w:styleId="CommentTextChar">
    <w:name w:val="Comment Text Char"/>
    <w:basedOn w:val="DefaultParagraphFont"/>
    <w:link w:val="CommentText"/>
    <w:uiPriority w:val="99"/>
    <w:rsid w:val="00F17A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7A5C"/>
    <w:rPr>
      <w:b/>
      <w:bCs/>
    </w:rPr>
  </w:style>
  <w:style w:type="character" w:customStyle="1" w:styleId="CommentSubjectChar">
    <w:name w:val="Comment Subject Char"/>
    <w:basedOn w:val="CommentTextChar"/>
    <w:link w:val="CommentSubject"/>
    <w:uiPriority w:val="99"/>
    <w:semiHidden/>
    <w:rsid w:val="00F17A5C"/>
    <w:rPr>
      <w:rFonts w:ascii="Times New Roman" w:eastAsia="Times New Roman" w:hAnsi="Times New Roman" w:cs="Times New Roman"/>
      <w:b/>
      <w:bCs/>
      <w:sz w:val="20"/>
      <w:szCs w:val="20"/>
    </w:rPr>
  </w:style>
  <w:style w:type="paragraph" w:styleId="Revision">
    <w:name w:val="Revision"/>
    <w:hidden/>
    <w:uiPriority w:val="99"/>
    <w:semiHidden/>
    <w:rsid w:val="00F17A5C"/>
  </w:style>
  <w:style w:type="paragraph" w:customStyle="1" w:styleId="paragraph">
    <w:name w:val="paragraph"/>
    <w:basedOn w:val="Normal"/>
    <w:rsid w:val="00A474FF"/>
    <w:pPr>
      <w:spacing w:before="100" w:beforeAutospacing="1" w:after="100" w:afterAutospacing="1"/>
    </w:pPr>
  </w:style>
  <w:style w:type="character" w:customStyle="1" w:styleId="normaltextrun">
    <w:name w:val="normaltextrun"/>
    <w:basedOn w:val="DefaultParagraphFont"/>
    <w:rsid w:val="00A474FF"/>
  </w:style>
  <w:style w:type="character" w:customStyle="1" w:styleId="eop">
    <w:name w:val="eop"/>
    <w:basedOn w:val="DefaultParagraphFont"/>
    <w:rsid w:val="00A474F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cd6NAQd0iddwEYcTdZ+8Wtk60Q==">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6cb6fab5-1093-4a67-bcb3-ba6e660cb04a" xsi:nil="true"/>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399C02-A841-4527-B9B9-C6B47D9D2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0086BB-0784-4027-B5A7-975A8208778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A624B33-E39E-43E9-B321-0AD66F417A95}">
  <ds:schemaRefs>
    <ds:schemaRef ds:uri="http://schemas.microsoft.com/office/2006/metadata/properties"/>
    <ds:schemaRef ds:uri="http://schemas.microsoft.com/office/infopath/2007/PartnerControls"/>
    <ds:schemaRef ds:uri="6cb6fab5-1093-4a67-bcb3-ba6e660cb04a"/>
    <ds:schemaRef ds:uri="18fde337-0ae5-4448-91d4-1aac2e7d3530"/>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3852</Words>
  <Characters>21959</Characters>
  <Application>Microsoft Office Word</Application>
  <DocSecurity>0</DocSecurity>
  <Lines>182</Lines>
  <Paragraphs>51</Paragraphs>
  <ScaleCrop>false</ScaleCrop>
  <Company/>
  <LinksUpToDate>false</LinksUpToDate>
  <CharactersWithSpaces>25760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Bosley</dc:creator>
  <cp:lastModifiedBy>Caleb Asbridge</cp:lastModifiedBy>
  <cp:revision>16</cp:revision>
  <dcterms:created xsi:type="dcterms:W3CDTF">2024-04-26T19:37:00Z</dcterms:created>
  <dcterms:modified xsi:type="dcterms:W3CDTF">2024-06-18T21:11:00Z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NCCDOffice">
    <vt:lpwstr>324;#Madison|3dd15d7c-466b-4f2e-a1e7-1efea7a709d1</vt:lpwstr>
  </property>
  <property fmtid="{D5CDD505-2E9C-101B-9397-08002B2CF9AE}" pid="4" name="ProjectFamily">
    <vt:lpwstr>986;#Adult Corrections|86d9283a-e4db-4430-a1dd-61d127e131bb;#1012;#Juvenile Corrections|736d6d6b-3658-48ec-a083-bd3f529fbd98</vt:lpwstr>
  </property>
  <property fmtid="{D5CDD505-2E9C-101B-9397-08002B2CF9AE}" pid="5" name="TaxKeyword">
    <vt:lpwstr/>
  </property>
  <property fmtid="{D5CDD505-2E9C-101B-9397-08002B2CF9AE}" pid="6" name="Order">
    <vt:r8>127000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emplateUrl">
    <vt:lpwstr/>
  </property>
  <property fmtid="{D5CDD505-2E9C-101B-9397-08002B2CF9AE}" pid="11" name="ComplianceAssetId">
    <vt:lpwstr/>
  </property>
  <property fmtid="{D5CDD505-2E9C-101B-9397-08002B2CF9AE}" pid="12" name="MediaServiceImageTags">
    <vt:lpwstr/>
  </property>
  <property fmtid="{D5CDD505-2E9C-101B-9397-08002B2CF9AE}" pid="13" name="GrammarlyDocumentId">
    <vt:lpwstr>4c66152b5790c37503c42289cd7534adb7a61be6f9f68cd010621ae46fde94e8</vt:lpwstr>
  </property>
  <property fmtid="{D5CDD505-2E9C-101B-9397-08002B2CF9AE}" pid="14" name="TriggerFlowInfo">
    <vt:lpwstr/>
  </property>
</Properties>
</file>