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D4BE" w14:textId="07A6B52B" w:rsidR="00414EA0" w:rsidRDefault="00414EA0" w:rsidP="00414EA0">
      <w:r>
        <w:rPr>
          <w:noProof/>
        </w:rPr>
        <mc:AlternateContent>
          <mc:Choice Requires="wps">
            <w:drawing>
              <wp:anchor distT="0" distB="0" distL="114300" distR="114300" simplePos="0" relativeHeight="251694080" behindDoc="0" locked="0" layoutInCell="1" allowOverlap="1" wp14:anchorId="78EF8F3B" wp14:editId="530125D0">
                <wp:simplePos x="0" y="0"/>
                <wp:positionH relativeFrom="margin">
                  <wp:posOffset>-76200</wp:posOffset>
                </wp:positionH>
                <wp:positionV relativeFrom="margin">
                  <wp:posOffset>-9525</wp:posOffset>
                </wp:positionV>
                <wp:extent cx="5200650" cy="1328738"/>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5200650" cy="1328738"/>
                        </a:xfrm>
                        <a:prstGeom prst="rect">
                          <a:avLst/>
                        </a:prstGeom>
                        <a:noFill/>
                        <a:ln w="6350">
                          <a:noFill/>
                        </a:ln>
                      </wps:spPr>
                      <wps:txbx>
                        <w:txbxContent>
                          <w:p w14:paraId="7DBBA6C0" w14:textId="694B9AB7" w:rsidR="00C00BF3" w:rsidRPr="000A1CB3" w:rsidRDefault="00414EA0" w:rsidP="00414EA0">
                            <w:pPr>
                              <w:pStyle w:val="SIFTitle"/>
                              <w:jc w:val="left"/>
                              <w:rPr>
                                <w:rFonts w:ascii="Muli" w:hAnsi="Muli"/>
                                <w:color w:val="FFFFFF" w:themeColor="background1"/>
                                <w:sz w:val="44"/>
                                <w:szCs w:val="36"/>
                              </w:rPr>
                            </w:pPr>
                            <w:r w:rsidRPr="000A1CB3">
                              <w:rPr>
                                <w:rFonts w:ascii="Muli" w:hAnsi="Muli"/>
                                <w:color w:val="FFFFFF" w:themeColor="background1"/>
                                <w:sz w:val="44"/>
                                <w:szCs w:val="36"/>
                              </w:rPr>
                              <w:t>Audit Assignment System</w:t>
                            </w:r>
                          </w:p>
                          <w:p w14:paraId="7CEBB13A" w14:textId="0698060D" w:rsidR="009D1747" w:rsidRDefault="000B62F8" w:rsidP="00AB3E0A">
                            <w:pPr>
                              <w:pStyle w:val="SIFTitle"/>
                              <w:spacing w:line="276" w:lineRule="auto"/>
                              <w:jc w:val="left"/>
                              <w:rPr>
                                <w:rFonts w:ascii="Muli" w:hAnsi="Muli"/>
                                <w:color w:val="FFFFFF" w:themeColor="background1"/>
                                <w:sz w:val="44"/>
                                <w:szCs w:val="36"/>
                              </w:rPr>
                            </w:pPr>
                            <w:r>
                              <w:rPr>
                                <w:rFonts w:ascii="Muli" w:hAnsi="Muli"/>
                                <w:color w:val="FFFFFF" w:themeColor="background1"/>
                                <w:sz w:val="44"/>
                                <w:szCs w:val="36"/>
                              </w:rPr>
                              <w:t>c</w:t>
                            </w:r>
                            <w:r w:rsidR="00414EA0" w:rsidRPr="000A1CB3">
                              <w:rPr>
                                <w:rFonts w:ascii="Muli" w:hAnsi="Muli"/>
                                <w:color w:val="FFFFFF" w:themeColor="background1"/>
                                <w:sz w:val="44"/>
                                <w:szCs w:val="36"/>
                              </w:rPr>
                              <w:t xml:space="preserve">ontract </w:t>
                            </w:r>
                            <w:r>
                              <w:rPr>
                                <w:rFonts w:ascii="Muli" w:hAnsi="Muli"/>
                                <w:color w:val="FFFFFF" w:themeColor="background1"/>
                                <w:sz w:val="44"/>
                                <w:szCs w:val="36"/>
                              </w:rPr>
                              <w:t>r</w:t>
                            </w:r>
                            <w:r w:rsidR="00414EA0" w:rsidRPr="000A1CB3">
                              <w:rPr>
                                <w:rFonts w:ascii="Muli" w:hAnsi="Muli"/>
                                <w:color w:val="FFFFFF" w:themeColor="background1"/>
                                <w:sz w:val="44"/>
                                <w:szCs w:val="36"/>
                              </w:rPr>
                              <w:t>equirements</w:t>
                            </w:r>
                          </w:p>
                          <w:p w14:paraId="147B553F" w14:textId="62ED7751" w:rsidR="00414EA0" w:rsidRPr="00AB3E0A" w:rsidRDefault="00ED353F" w:rsidP="00AB3E0A">
                            <w:pPr>
                              <w:pStyle w:val="SIFTitle"/>
                              <w:spacing w:line="276" w:lineRule="auto"/>
                              <w:jc w:val="left"/>
                              <w:rPr>
                                <w:rFonts w:ascii="Muli" w:hAnsi="Muli"/>
                                <w:color w:val="FFFFFF" w:themeColor="background1"/>
                                <w:sz w:val="32"/>
                                <w:szCs w:val="32"/>
                              </w:rPr>
                            </w:pPr>
                            <w:r w:rsidRPr="00AB3E0A">
                              <w:rPr>
                                <w:rFonts w:ascii="Muli" w:hAnsi="Muli"/>
                                <w:color w:val="FFFFFF" w:themeColor="background1"/>
                                <w:sz w:val="32"/>
                                <w:szCs w:val="32"/>
                              </w:rPr>
                              <w:t>Version 1, August 1,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F8F3B" id="_x0000_t202" coordsize="21600,21600" o:spt="202" path="m,l,21600r21600,l21600,xe">
                <v:stroke joinstyle="miter"/>
                <v:path gradientshapeok="t" o:connecttype="rect"/>
              </v:shapetype>
              <v:shape id="Text Box 1" o:spid="_x0000_s1026" type="#_x0000_t202" style="position:absolute;margin-left:-6pt;margin-top:-.75pt;width:409.5pt;height:104.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" filled="f" stroked="f" strokeweight=".5pt">
                <v:textbox>
                  <w:txbxContent>
                    <w:p w14:paraId="7DBBA6C0" w14:textId="694B9AB7" w:rsidR="00C00BF3" w:rsidRPr="000A1CB3" w:rsidRDefault="00414EA0" w:rsidP="00414EA0">
                      <w:pPr>
                        <w:pStyle w:val="SIFTitle"/>
                        <w:jc w:val="left"/>
                        <w:rPr>
                          <w:rFonts w:ascii="Muli" w:hAnsi="Muli"/>
                          <w:color w:val="FFFFFF" w:themeColor="background1"/>
                          <w:sz w:val="44"/>
                          <w:szCs w:val="36"/>
                        </w:rPr>
                      </w:pPr>
                      <w:r w:rsidRPr="000A1CB3">
                        <w:rPr>
                          <w:rFonts w:ascii="Muli" w:hAnsi="Muli"/>
                          <w:color w:val="FFFFFF" w:themeColor="background1"/>
                          <w:sz w:val="44"/>
                          <w:szCs w:val="36"/>
                        </w:rPr>
                        <w:t>Audit Assignment System</w:t>
                      </w:r>
                    </w:p>
                    <w:p w14:paraId="7CEBB13A" w14:textId="0698060D" w:rsidR="009D1747" w:rsidRDefault="000B62F8" w:rsidP="00AB3E0A">
                      <w:pPr>
                        <w:pStyle w:val="SIFTitle"/>
                        <w:spacing w:line="276" w:lineRule="auto"/>
                        <w:jc w:val="left"/>
                        <w:rPr>
                          <w:rFonts w:ascii="Muli" w:hAnsi="Muli"/>
                          <w:color w:val="FFFFFF" w:themeColor="background1"/>
                          <w:sz w:val="44"/>
                          <w:szCs w:val="36"/>
                        </w:rPr>
                      </w:pPr>
                      <w:r>
                        <w:rPr>
                          <w:rFonts w:ascii="Muli" w:hAnsi="Muli"/>
                          <w:color w:val="FFFFFF" w:themeColor="background1"/>
                          <w:sz w:val="44"/>
                          <w:szCs w:val="36"/>
                        </w:rPr>
                        <w:t>c</w:t>
                      </w:r>
                      <w:r w:rsidR="00414EA0" w:rsidRPr="000A1CB3">
                        <w:rPr>
                          <w:rFonts w:ascii="Muli" w:hAnsi="Muli"/>
                          <w:color w:val="FFFFFF" w:themeColor="background1"/>
                          <w:sz w:val="44"/>
                          <w:szCs w:val="36"/>
                        </w:rPr>
                        <w:t xml:space="preserve">ontract </w:t>
                      </w:r>
                      <w:r>
                        <w:rPr>
                          <w:rFonts w:ascii="Muli" w:hAnsi="Muli"/>
                          <w:color w:val="FFFFFF" w:themeColor="background1"/>
                          <w:sz w:val="44"/>
                          <w:szCs w:val="36"/>
                        </w:rPr>
                        <w:t>r</w:t>
                      </w:r>
                      <w:r w:rsidR="00414EA0" w:rsidRPr="000A1CB3">
                        <w:rPr>
                          <w:rFonts w:ascii="Muli" w:hAnsi="Muli"/>
                          <w:color w:val="FFFFFF" w:themeColor="background1"/>
                          <w:sz w:val="44"/>
                          <w:szCs w:val="36"/>
                        </w:rPr>
                        <w:t>equirements</w:t>
                      </w:r>
                    </w:p>
                    <w:p w14:paraId="147B553F" w14:textId="62ED7751" w:rsidR="00414EA0" w:rsidRPr="00AB3E0A" w:rsidRDefault="00ED353F" w:rsidP="00AB3E0A">
                      <w:pPr>
                        <w:pStyle w:val="SIFTitle"/>
                        <w:spacing w:line="276" w:lineRule="auto"/>
                        <w:jc w:val="left"/>
                        <w:rPr>
                          <w:rFonts w:ascii="Muli" w:hAnsi="Muli"/>
                          <w:color w:val="FFFFFF" w:themeColor="background1"/>
                          <w:sz w:val="32"/>
                          <w:szCs w:val="32"/>
                        </w:rPr>
                      </w:pPr>
                      <w:r w:rsidRPr="00AB3E0A">
                        <w:rPr>
                          <w:rFonts w:ascii="Muli" w:hAnsi="Muli"/>
                          <w:color w:val="FFFFFF" w:themeColor="background1"/>
                          <w:sz w:val="32"/>
                          <w:szCs w:val="32"/>
                        </w:rPr>
                        <w:t>Version 1, August 1, 2022</w:t>
                      </w:r>
                    </w:p>
                  </w:txbxContent>
                </v:textbox>
                <w10:wrap anchorx="margin" anchory="margin"/>
              </v:shape>
            </w:pict>
          </mc:Fallback>
        </mc:AlternateContent>
      </w:r>
      <w:r w:rsidR="00CB19BD">
        <w:t>v</w:t>
      </w:r>
    </w:p>
    <w:p w14:paraId="554A014C" w14:textId="77777777" w:rsidR="00414EA0" w:rsidRDefault="00414EA0" w:rsidP="00414EA0"/>
    <w:p w14:paraId="6878356B" w14:textId="77777777" w:rsidR="00414EA0" w:rsidRDefault="00414EA0" w:rsidP="00414EA0"/>
    <w:p w14:paraId="0F24E9C0" w14:textId="77777777" w:rsidR="00414EA0" w:rsidRDefault="00414EA0" w:rsidP="00414EA0"/>
    <w:p w14:paraId="2BDF7958" w14:textId="77777777" w:rsidR="00361E7F" w:rsidRDefault="00361E7F" w:rsidP="00361E7F"/>
    <w:p w14:paraId="514DA7DA" w14:textId="38D57A3D" w:rsidR="00361E7F" w:rsidRPr="009D4F56" w:rsidRDefault="00B158E2" w:rsidP="00B16279">
      <w:pPr>
        <w:pStyle w:val="ListParagraph"/>
        <w:rPr>
          <w:rStyle w:val="SubtitleChar"/>
          <w:rFonts w:cstheme="minorHAnsi"/>
        </w:rPr>
      </w:pPr>
      <w:r w:rsidRPr="009D4F56">
        <w:rPr>
          <w:rStyle w:val="QuoteChar"/>
          <w:rFonts w:asciiTheme="minorHAnsi" w:hAnsiTheme="minorHAnsi" w:cstheme="minorHAnsi"/>
          <w:i w:val="0"/>
          <w:iCs w:val="0"/>
          <w:noProof/>
          <w:sz w:val="22"/>
          <w:szCs w:val="22"/>
        </w:rPr>
        <w:drawing>
          <wp:anchor distT="0" distB="0" distL="114300" distR="114300" simplePos="0" relativeHeight="251697152" behindDoc="0" locked="0" layoutInCell="1" allowOverlap="1" wp14:anchorId="46438A1D" wp14:editId="5F3E16E1">
            <wp:simplePos x="0" y="0"/>
            <wp:positionH relativeFrom="margin">
              <wp:posOffset>5640070</wp:posOffset>
            </wp:positionH>
            <wp:positionV relativeFrom="margin">
              <wp:posOffset>-114300</wp:posOffset>
            </wp:positionV>
            <wp:extent cx="719455" cy="737870"/>
            <wp:effectExtent l="0" t="0" r="4445" b="0"/>
            <wp:wrapSquare wrapText="bothSides"/>
            <wp:docPr id="30" name="Picture 3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RC LOGO_2020_Invert.png"/>
                    <pic:cNvPicPr/>
                  </pic:nvPicPr>
                  <pic:blipFill>
                    <a:blip r:embed="rId7">
                      <a:extLst>
                        <a:ext uri="{28A0092B-C50C-407E-A947-70E740481C1C}">
                          <a14:useLocalDpi xmlns:a14="http://schemas.microsoft.com/office/drawing/2010/main" val="0"/>
                        </a:ext>
                      </a:extLst>
                    </a:blip>
                    <a:stretch>
                      <a:fillRect/>
                    </a:stretch>
                  </pic:blipFill>
                  <pic:spPr>
                    <a:xfrm>
                      <a:off x="0" y="0"/>
                      <a:ext cx="719455" cy="737870"/>
                    </a:xfrm>
                    <a:prstGeom prst="rect">
                      <a:avLst/>
                    </a:prstGeom>
                  </pic:spPr>
                </pic:pic>
              </a:graphicData>
            </a:graphic>
            <wp14:sizeRelH relativeFrom="margin">
              <wp14:pctWidth>0</wp14:pctWidth>
            </wp14:sizeRelH>
            <wp14:sizeRelV relativeFrom="margin">
              <wp14:pctHeight>0</wp14:pctHeight>
            </wp14:sizeRelV>
          </wp:anchor>
        </w:drawing>
      </w:r>
      <w:r w:rsidRPr="009D4F56">
        <w:rPr>
          <w:rStyle w:val="QuoteChar"/>
          <w:rFonts w:asciiTheme="minorHAnsi" w:hAnsiTheme="minorHAnsi" w:cstheme="minorHAnsi"/>
          <w:i w:val="0"/>
          <w:iCs w:val="0"/>
          <w:noProof/>
          <w:sz w:val="22"/>
          <w:szCs w:val="22"/>
        </w:rPr>
        <mc:AlternateContent>
          <mc:Choice Requires="wps">
            <w:drawing>
              <wp:anchor distT="0" distB="0" distL="114300" distR="114300" simplePos="0" relativeHeight="251655164" behindDoc="0" locked="0" layoutInCell="1" allowOverlap="1" wp14:anchorId="308939FA" wp14:editId="04C7AB0C">
                <wp:simplePos x="0" y="0"/>
                <wp:positionH relativeFrom="column">
                  <wp:posOffset>-908685</wp:posOffset>
                </wp:positionH>
                <wp:positionV relativeFrom="margin">
                  <wp:posOffset>-448129</wp:posOffset>
                </wp:positionV>
                <wp:extent cx="7767955" cy="1828800"/>
                <wp:effectExtent l="0" t="0" r="4445" b="0"/>
                <wp:wrapNone/>
                <wp:docPr id="26" name="Rectangle 26"/>
                <wp:cNvGraphicFramePr/>
                <a:graphic xmlns:a="http://schemas.openxmlformats.org/drawingml/2006/main">
                  <a:graphicData uri="http://schemas.microsoft.com/office/word/2010/wordprocessingShape">
                    <wps:wsp>
                      <wps:cNvSpPr/>
                      <wps:spPr>
                        <a:xfrm>
                          <a:off x="0" y="0"/>
                          <a:ext cx="7767955" cy="1828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E56F4" id="Rectangle 26" o:spid="_x0000_s1026" style="position:absolute;margin-left:-71.55pt;margin-top:-35.3pt;width:611.65pt;height:2in;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" fillcolor="#092851 [3215]" stroked="f" strokeweight="1pt">
                <v:textbox inset=",7.2pt,,7.2pt"/>
                <w10:wrap anchory="margin"/>
              </v:rect>
            </w:pict>
          </mc:Fallback>
        </mc:AlternateContent>
      </w:r>
      <w:r w:rsidR="009D4F56">
        <w:rPr>
          <w:rStyle w:val="SubtitleChar"/>
          <w:rFonts w:cstheme="minorHAnsi"/>
        </w:rPr>
        <w:t>This</w:t>
      </w:r>
      <w:r w:rsidR="00361E7F" w:rsidRPr="009D4F56">
        <w:rPr>
          <w:rStyle w:val="IntenseEmphasis"/>
          <w:rFonts w:asciiTheme="minorHAnsi" w:hAnsiTheme="minorHAnsi" w:cstheme="minorHAnsi"/>
          <w:i w:val="0"/>
          <w:iCs w:val="0"/>
          <w:sz w:val="22"/>
          <w:szCs w:val="22"/>
        </w:rPr>
        <w:t xml:space="preserve"> </w:t>
      </w:r>
      <w:r w:rsidR="00361E7F" w:rsidRPr="009D4F56">
        <w:rPr>
          <w:rStyle w:val="SubtitleChar"/>
          <w:rFonts w:cstheme="minorHAnsi"/>
        </w:rPr>
        <w:t>information sheet describes the contract requirements for PREA auditors and addresses questions that have arisen during implementation of the new Audit Assignment System.</w:t>
      </w:r>
      <w:r w:rsidR="009D4F56">
        <w:rPr>
          <w:rStyle w:val="SubtitleChar"/>
          <w:rFonts w:cstheme="minorHAnsi"/>
        </w:rPr>
        <w:t xml:space="preserve"> </w:t>
      </w:r>
    </w:p>
    <w:p w14:paraId="2B2D3A00" w14:textId="1B8D0406" w:rsidR="00361E7F" w:rsidRPr="00600652" w:rsidRDefault="00361E7F" w:rsidP="00361E7F">
      <w:pPr>
        <w:pStyle w:val="Heading1"/>
      </w:pPr>
      <w:r>
        <w:t xml:space="preserve">Contract </w:t>
      </w:r>
      <w:r w:rsidR="00346921">
        <w:t>s</w:t>
      </w:r>
      <w:r>
        <w:t xml:space="preserve">ubmission as part of </w:t>
      </w:r>
      <w:r w:rsidR="00346921">
        <w:t>a</w:t>
      </w:r>
      <w:r>
        <w:t xml:space="preserve">udit </w:t>
      </w:r>
      <w:r w:rsidR="00346921">
        <w:t>i</w:t>
      </w:r>
      <w:r>
        <w:t>nitiation</w:t>
      </w:r>
    </w:p>
    <w:p w14:paraId="0116E9BF" w14:textId="538D9CA4" w:rsidR="00361E7F" w:rsidRDefault="00361E7F" w:rsidP="00361E7F">
      <w:r w:rsidRPr="008E2C52">
        <w:t>As part of the</w:t>
      </w:r>
      <w:r w:rsidR="00DB135E">
        <w:t xml:space="preserve"> new</w:t>
      </w:r>
      <w:r w:rsidRPr="008E2C52">
        <w:t xml:space="preserve"> </w:t>
      </w:r>
      <w:r w:rsidR="001B675A">
        <w:t>A</w:t>
      </w:r>
      <w:r w:rsidRPr="008E2C52">
        <w:t xml:space="preserve">udit </w:t>
      </w:r>
      <w:r w:rsidR="001B675A">
        <w:t>A</w:t>
      </w:r>
      <w:r w:rsidRPr="008E2C52">
        <w:t xml:space="preserve">ssignment </w:t>
      </w:r>
      <w:r w:rsidR="00D63AB4">
        <w:t>S</w:t>
      </w:r>
      <w:r w:rsidRPr="008E2C52">
        <w:t>ystem</w:t>
      </w:r>
      <w:r w:rsidR="001B675A">
        <w:t xml:space="preserve"> that is required by the 2018 </w:t>
      </w:r>
      <w:r w:rsidR="005C2001">
        <w:t>a</w:t>
      </w:r>
      <w:r w:rsidR="001B675A">
        <w:t xml:space="preserve">mendment to the PREA statute (see </w:t>
      </w:r>
      <w:r w:rsidR="000A1CB3">
        <w:t>34 U.S.C. § 30307(e)(8)(C))</w:t>
      </w:r>
      <w:r w:rsidRPr="008E2C52">
        <w:t xml:space="preserve">, </w:t>
      </w:r>
      <w:r w:rsidRPr="008E2C52">
        <w:rPr>
          <w:b/>
          <w:bCs/>
        </w:rPr>
        <w:t>auditors are required to submit a copy of the audit contract</w:t>
      </w:r>
      <w:r w:rsidRPr="008E2C52">
        <w:t xml:space="preserve"> </w:t>
      </w:r>
      <w:r w:rsidR="00D63AB4">
        <w:t xml:space="preserve">to the Department of Justice’s PREA Management Office (DOJ PMO) </w:t>
      </w:r>
      <w:r w:rsidRPr="008E2C52">
        <w:rPr>
          <w:b/>
          <w:bCs/>
        </w:rPr>
        <w:t xml:space="preserve">and confirm that they are </w:t>
      </w:r>
      <w:r w:rsidR="00D63AB4">
        <w:rPr>
          <w:b/>
          <w:bCs/>
        </w:rPr>
        <w:t xml:space="preserve">a </w:t>
      </w:r>
      <w:r w:rsidRPr="008E2C52">
        <w:rPr>
          <w:b/>
          <w:bCs/>
        </w:rPr>
        <w:t>party to the contract</w:t>
      </w:r>
      <w:r w:rsidRPr="006F32D2">
        <w:rPr>
          <w:b/>
          <w:bCs/>
        </w:rPr>
        <w:t xml:space="preserve"> or agreement </w:t>
      </w:r>
      <w:r w:rsidRPr="008E2C52">
        <w:t xml:space="preserve">with the audited facility and/or agency. Audit contracts </w:t>
      </w:r>
      <w:r w:rsidR="001B675A">
        <w:t>must</w:t>
      </w:r>
      <w:r w:rsidRPr="008E2C52">
        <w:t xml:space="preserve"> be submitted at the time of audit initiation and </w:t>
      </w:r>
      <w:r w:rsidR="00D63AB4">
        <w:t xml:space="preserve">are </w:t>
      </w:r>
      <w:r w:rsidRPr="008E2C52">
        <w:t>reviewed during the approval process of the Audit Initiation Form to determine whether the minimum conditions</w:t>
      </w:r>
      <w:r w:rsidR="001B675A">
        <w:t>, which are detailed below,</w:t>
      </w:r>
      <w:r w:rsidRPr="008E2C52">
        <w:t xml:space="preserve"> are met. If an auditor is unable to meet one or more of the conditions and/or fails to fully and accurately complete or confirm the Audit Initiation Form, the auditor will not be approved </w:t>
      </w:r>
      <w:r w:rsidR="001B675A">
        <w:t xml:space="preserve">by the DOJ PMO </w:t>
      </w:r>
      <w:r w:rsidRPr="008E2C52">
        <w:t>to proceed with the audit.</w:t>
      </w:r>
    </w:p>
    <w:p w14:paraId="6711EC65" w14:textId="1F807C43" w:rsidR="00361E7F" w:rsidRDefault="00361E7F" w:rsidP="00361E7F">
      <w:r w:rsidRPr="00D5479B">
        <w:rPr>
          <w:b/>
          <w:bCs/>
        </w:rPr>
        <w:t>Auditors may not proceed with an audit unless and until they receive an approval email</w:t>
      </w:r>
      <w:r w:rsidRPr="00D5479B">
        <w:t xml:space="preserve"> from</w:t>
      </w:r>
      <w:r w:rsidR="00D63AB4">
        <w:t xml:space="preserve"> </w:t>
      </w:r>
      <w:r w:rsidR="00861012">
        <w:t xml:space="preserve">the </w:t>
      </w:r>
      <w:r>
        <w:t>DOJ PMO</w:t>
      </w:r>
      <w:r w:rsidRPr="00D5479B">
        <w:t xml:space="preserve"> that explicitly grants the auditor permission to conduct the audit. This approval applies only to the auditor who is named in the Audit Initiation Form as </w:t>
      </w:r>
      <w:r w:rsidR="001B675A">
        <w:t>L</w:t>
      </w:r>
      <w:r w:rsidRPr="00D5479B">
        <w:t xml:space="preserve">ead </w:t>
      </w:r>
      <w:r w:rsidR="001B675A">
        <w:t>A</w:t>
      </w:r>
      <w:r w:rsidRPr="00D5479B">
        <w:t xml:space="preserve">uditor. If the </w:t>
      </w:r>
      <w:r w:rsidR="001B675A">
        <w:t>L</w:t>
      </w:r>
      <w:r w:rsidRPr="00D5479B">
        <w:t xml:space="preserve">ead </w:t>
      </w:r>
      <w:r w:rsidR="001B675A">
        <w:t>A</w:t>
      </w:r>
      <w:r w:rsidRPr="00D5479B">
        <w:t xml:space="preserve">uditor approved to conduct the audit is unable to complete </w:t>
      </w:r>
      <w:r w:rsidR="00861012">
        <w:t>i</w:t>
      </w:r>
      <w:r w:rsidRPr="00D5479B">
        <w:t xml:space="preserve">t, another auditor may not proceed as </w:t>
      </w:r>
      <w:r w:rsidR="001B675A">
        <w:t>L</w:t>
      </w:r>
      <w:r w:rsidRPr="00D5479B">
        <w:t xml:space="preserve">ead </w:t>
      </w:r>
      <w:r w:rsidR="001B675A">
        <w:t>A</w:t>
      </w:r>
      <w:r w:rsidRPr="00D5479B">
        <w:t xml:space="preserve">uditor without taking all </w:t>
      </w:r>
      <w:r w:rsidR="00861012">
        <w:t>a</w:t>
      </w:r>
      <w:r w:rsidRPr="00D5479B">
        <w:t xml:space="preserve">udit </w:t>
      </w:r>
      <w:r w:rsidR="00861012">
        <w:t>i</w:t>
      </w:r>
      <w:r w:rsidRPr="00D5479B">
        <w:t>nitiation steps.</w:t>
      </w:r>
    </w:p>
    <w:p w14:paraId="35A6DEBF" w14:textId="77777777" w:rsidR="00361E7F" w:rsidRDefault="00361E7F" w:rsidP="00361E7F">
      <w:pPr>
        <w:pStyle w:val="Heading1"/>
      </w:pPr>
      <w:r>
        <w:t>Contract requirements</w:t>
      </w:r>
    </w:p>
    <w:p w14:paraId="5DBC1496" w14:textId="77777777" w:rsidR="00361E7F" w:rsidRPr="00CE352D" w:rsidRDefault="00361E7F" w:rsidP="00361E7F">
      <w:r w:rsidRPr="00CE352D">
        <w:t>All auditing agreements must, at a minimum:</w:t>
      </w:r>
    </w:p>
    <w:p w14:paraId="136E981C" w14:textId="77777777" w:rsidR="00361E7F" w:rsidRPr="00CE352D" w:rsidRDefault="00361E7F" w:rsidP="00B45946">
      <w:pPr>
        <w:pStyle w:val="ListParagraph"/>
        <w:widowControl/>
        <w:numPr>
          <w:ilvl w:val="0"/>
          <w:numId w:val="35"/>
        </w:numPr>
        <w:tabs>
          <w:tab w:val="clear" w:pos="4060"/>
        </w:tabs>
        <w:autoSpaceDE/>
        <w:autoSpaceDN/>
        <w:adjustRightInd/>
        <w:spacing w:after="0" w:line="240" w:lineRule="auto"/>
        <w:textAlignment w:val="auto"/>
      </w:pPr>
      <w:r w:rsidRPr="00CE352D">
        <w:t>Be signed by all relevant parties, including the audited agency, lead auditor, and third-party entity (e.g., the auditor’s current employer, an accreditation body, or a consulting firm), if applicable.</w:t>
      </w:r>
    </w:p>
    <w:p w14:paraId="14CE26F1" w14:textId="1545C146" w:rsidR="00361E7F" w:rsidRDefault="00B81CBA" w:rsidP="00B81CBA">
      <w:pPr>
        <w:pStyle w:val="ListParagraph"/>
        <w:widowControl/>
        <w:tabs>
          <w:tab w:val="clear" w:pos="4060"/>
        </w:tabs>
        <w:autoSpaceDE/>
        <w:autoSpaceDN/>
        <w:adjustRightInd/>
        <w:spacing w:after="0" w:line="240" w:lineRule="auto"/>
        <w:textAlignment w:val="auto"/>
      </w:pPr>
      <w:r>
        <w:t>And i</w:t>
      </w:r>
      <w:r w:rsidR="00361E7F" w:rsidRPr="00CE352D">
        <w:t xml:space="preserve">nclude the following </w:t>
      </w:r>
      <w:proofErr w:type="spellStart"/>
      <w:r w:rsidR="00361E7F" w:rsidRPr="00CE352D">
        <w:t>information:</w:t>
      </w:r>
    </w:p>
    <w:p w14:paraId="42D365F5" w14:textId="77777777" w:rsidR="00B45946" w:rsidRDefault="00B45946" w:rsidP="00B45946">
      <w:pPr>
        <w:pStyle w:val="ListParagraph"/>
        <w:widowControl/>
        <w:numPr>
          <w:ilvl w:val="0"/>
          <w:numId w:val="35"/>
        </w:numPr>
        <w:tabs>
          <w:tab w:val="clear" w:pos="4060"/>
        </w:tabs>
        <w:autoSpaceDE/>
        <w:autoSpaceDN/>
        <w:adjustRightInd/>
        <w:spacing w:after="0" w:line="240" w:lineRule="auto"/>
        <w:textAlignment w:val="auto"/>
      </w:pPr>
      <w:proofErr w:type="spellEnd"/>
      <w:r w:rsidRPr="00CE352D">
        <w:t xml:space="preserve">The name of the </w:t>
      </w:r>
      <w:r>
        <w:t>L</w:t>
      </w:r>
      <w:r w:rsidRPr="00CE352D">
        <w:t xml:space="preserve">ead </w:t>
      </w:r>
      <w:r>
        <w:t>A</w:t>
      </w:r>
      <w:r w:rsidRPr="00CE352D">
        <w:t>uditor.</w:t>
      </w:r>
    </w:p>
    <w:p w14:paraId="1C3CE80C" w14:textId="08125855" w:rsidR="00B45946" w:rsidRDefault="00B45946" w:rsidP="00B45946">
      <w:pPr>
        <w:pStyle w:val="ListParagraph"/>
        <w:widowControl/>
        <w:numPr>
          <w:ilvl w:val="0"/>
          <w:numId w:val="35"/>
        </w:numPr>
        <w:tabs>
          <w:tab w:val="clear" w:pos="4060"/>
        </w:tabs>
        <w:autoSpaceDE/>
        <w:autoSpaceDN/>
        <w:adjustRightInd/>
        <w:spacing w:after="0" w:line="240" w:lineRule="auto"/>
        <w:textAlignment w:val="auto"/>
      </w:pPr>
      <w:r w:rsidRPr="00CE352D">
        <w:t>The facility(</w:t>
      </w:r>
      <w:proofErr w:type="spellStart"/>
      <w:r w:rsidRPr="00CE352D">
        <w:t>ies</w:t>
      </w:r>
      <w:proofErr w:type="spellEnd"/>
      <w:r w:rsidRPr="00CE352D">
        <w:t>) to be audited by the auditor.</w:t>
      </w:r>
    </w:p>
    <w:p w14:paraId="162658FD" w14:textId="679EDE29" w:rsidR="00361E7F" w:rsidRDefault="00361E7F" w:rsidP="00B45946">
      <w:pPr>
        <w:pStyle w:val="ListParagraph"/>
        <w:widowControl/>
        <w:numPr>
          <w:ilvl w:val="0"/>
          <w:numId w:val="35"/>
        </w:numPr>
        <w:tabs>
          <w:tab w:val="clear" w:pos="4060"/>
        </w:tabs>
        <w:autoSpaceDE/>
        <w:autoSpaceDN/>
        <w:adjustRightInd/>
        <w:spacing w:after="0" w:line="240" w:lineRule="auto"/>
        <w:textAlignment w:val="auto"/>
      </w:pPr>
      <w:r w:rsidRPr="00CE352D" w:rsidDel="00DF0A8E">
        <w:t>Anticipated dates for the onsite phase of the audit(s).</w:t>
      </w:r>
    </w:p>
    <w:p w14:paraId="58309EFA" w14:textId="69B90C41" w:rsidR="00361E7F" w:rsidRDefault="00361E7F" w:rsidP="00B45946">
      <w:pPr>
        <w:pStyle w:val="ListParagraph"/>
        <w:widowControl/>
        <w:numPr>
          <w:ilvl w:val="0"/>
          <w:numId w:val="35"/>
        </w:numPr>
        <w:tabs>
          <w:tab w:val="clear" w:pos="4060"/>
        </w:tabs>
        <w:autoSpaceDE/>
        <w:autoSpaceDN/>
        <w:adjustRightInd/>
        <w:spacing w:after="0" w:line="240" w:lineRule="auto"/>
        <w:textAlignment w:val="auto"/>
      </w:pPr>
      <w:proofErr w:type="gramStart"/>
      <w:r w:rsidRPr="00CE352D" w:rsidDel="00C51479">
        <w:t>With the exception of</w:t>
      </w:r>
      <w:proofErr w:type="gramEnd"/>
      <w:r w:rsidRPr="00CE352D" w:rsidDel="00C51479">
        <w:t xml:space="preserve"> audits conducted as part of a circular auditing arrangement (i.e., audit consortium), fees, expenses, and other forms of compensation paid to the auditor for completing the agreed upon audit(s).</w:t>
      </w:r>
    </w:p>
    <w:p w14:paraId="5C4FB815" w14:textId="77777777" w:rsidR="00361E7F" w:rsidRDefault="00361E7F" w:rsidP="00361E7F">
      <w:pPr>
        <w:spacing w:after="0" w:line="240" w:lineRule="auto"/>
      </w:pPr>
    </w:p>
    <w:p w14:paraId="16E25491" w14:textId="26BD8E35" w:rsidR="00DA0CDB" w:rsidRDefault="00361E7F" w:rsidP="00361E7F">
      <w:r w:rsidRPr="00CE352D">
        <w:t>For a downloadable checklist that details the contract elements required by the Audit Assignment System,</w:t>
      </w:r>
      <w:r w:rsidR="00B81CBA">
        <w:t xml:space="preserve"> visit this page: </w:t>
      </w:r>
      <w:hyperlink r:id="rId8" w:history="1">
        <w:r w:rsidR="00DA0CDB" w:rsidRPr="008B2068">
          <w:rPr>
            <w:rStyle w:val="Hyperlink"/>
            <w:rFonts w:ascii="Muli Light" w:hAnsi="Muli Light"/>
          </w:rPr>
          <w:t>https://www.prearesourcecenter.org/audit/prea-audit-assignment-system</w:t>
        </w:r>
      </w:hyperlink>
      <w:r w:rsidR="00DA0CDB">
        <w:t>.</w:t>
      </w:r>
    </w:p>
    <w:p w14:paraId="0FE1B68A" w14:textId="6E9BAB77" w:rsidR="00DA0CDB" w:rsidRDefault="00361E7F" w:rsidP="00361E7F">
      <w:r>
        <w:t xml:space="preserve">For a webinar we conducted on June 27, 2022 explaining the new requirements to procurement officials and others, </w:t>
      </w:r>
      <w:r w:rsidR="00B81CBA">
        <w:t xml:space="preserve">visit this page: </w:t>
      </w:r>
      <w:hyperlink r:id="rId9" w:history="1">
        <w:r w:rsidR="00DA0CDB" w:rsidRPr="008B2068">
          <w:rPr>
            <w:rStyle w:val="Hyperlink"/>
            <w:rFonts w:ascii="Muli Light" w:hAnsi="Muli Light"/>
          </w:rPr>
          <w:t>https://www.prearesourcecenter.org/implementation/training/webinars/prea-auditor-contracting-procurement-agencies</w:t>
        </w:r>
      </w:hyperlink>
      <w:r w:rsidR="00DA0CDB">
        <w:t>.</w:t>
      </w:r>
    </w:p>
    <w:p w14:paraId="2264C8C1" w14:textId="77777777" w:rsidR="00361E7F" w:rsidRDefault="00361E7F" w:rsidP="00361E7F">
      <w:r w:rsidRPr="00CE352D">
        <w:t>Th</w:t>
      </w:r>
      <w:r>
        <w:t>ese requirements</w:t>
      </w:r>
      <w:r w:rsidRPr="00CE352D">
        <w:t xml:space="preserve"> appl</w:t>
      </w:r>
      <w:r>
        <w:t>y</w:t>
      </w:r>
      <w:r w:rsidRPr="00CE352D">
        <w:t xml:space="preserve"> </w:t>
      </w:r>
      <w:r w:rsidRPr="00FA7726">
        <w:rPr>
          <w:b/>
          <w:bCs/>
        </w:rPr>
        <w:t>whether the auditor is being compensated directly by the audited facility and/or agency or through a third-party entity</w:t>
      </w:r>
      <w:r w:rsidRPr="00CE352D">
        <w:t xml:space="preserve"> (e.g., the auditor’s current employer, an accreditation body, or a consulting firm).</w:t>
      </w:r>
    </w:p>
    <w:p w14:paraId="17B2C839" w14:textId="77777777" w:rsidR="00326127" w:rsidRDefault="00326127" w:rsidP="00361E7F">
      <w:pPr>
        <w:pStyle w:val="Heading1"/>
      </w:pPr>
    </w:p>
    <w:p w14:paraId="0F7669C2" w14:textId="586E39F8" w:rsidR="00361E7F" w:rsidRDefault="00361E7F" w:rsidP="00361E7F">
      <w:pPr>
        <w:pStyle w:val="Heading1"/>
      </w:pPr>
      <w:r>
        <w:t>Third-party auditing organizations</w:t>
      </w:r>
    </w:p>
    <w:p w14:paraId="4CC4028E" w14:textId="77777777" w:rsidR="00361E7F" w:rsidRDefault="00361E7F" w:rsidP="00361E7F">
      <w:r w:rsidRPr="00CE352D">
        <w:t xml:space="preserve">Some facilities and/or agencies may contract with a third-party entity that assigns an auditor after the contract is executed. In such instances, prior to the submission or confirmation of the Audit Initiation Form, the </w:t>
      </w:r>
      <w:r w:rsidRPr="003F66E8">
        <w:rPr>
          <w:b/>
          <w:bCs/>
        </w:rPr>
        <w:t xml:space="preserve">auditor must </w:t>
      </w:r>
      <w:r w:rsidRPr="009D4F56">
        <w:rPr>
          <w:b/>
          <w:bCs/>
        </w:rPr>
        <w:t>ensure</w:t>
      </w:r>
      <w:r w:rsidRPr="003F66E8">
        <w:t xml:space="preserve"> that the contract</w:t>
      </w:r>
      <w:r w:rsidRPr="00CE352D">
        <w:t xml:space="preserve"> between the facility and/or agency and the third-party entity </w:t>
      </w:r>
      <w:r w:rsidRPr="003F66E8">
        <w:rPr>
          <w:b/>
          <w:bCs/>
        </w:rPr>
        <w:t>is amended or supplemented</w:t>
      </w:r>
      <w:r w:rsidRPr="00CE352D">
        <w:t xml:space="preserve"> to include the lead auditor as one of the parties to the contract. </w:t>
      </w:r>
      <w:r>
        <w:t>(</w:t>
      </w:r>
      <w:r w:rsidRPr="00CE352D">
        <w:t>When applying this requirement, the term “contract” is defined according to DOJ’s broad interpretation to include any memorandum of understanding or intergovernmental or interagency agreement.</w:t>
      </w:r>
      <w:r>
        <w:t>)</w:t>
      </w:r>
    </w:p>
    <w:p w14:paraId="16A2DB94" w14:textId="7B8416A5" w:rsidR="00361E7F" w:rsidRDefault="00361E7F" w:rsidP="00361E7F">
      <w:r>
        <w:t>During the early stages of implementing th</w:t>
      </w:r>
      <w:r w:rsidR="00DB135E">
        <w:t>e</w:t>
      </w:r>
      <w:r>
        <w:t xml:space="preserve"> new </w:t>
      </w:r>
      <w:r w:rsidR="00DB135E">
        <w:t>Audit Assignment S</w:t>
      </w:r>
      <w:r>
        <w:t xml:space="preserve">ystem, the DOJ PMO understands that state procurement rules may prevent updating existing contracts. For the time being, the DOJ PMO is allowing the following: </w:t>
      </w:r>
      <w:r w:rsidRPr="00D72E26">
        <w:rPr>
          <w:b/>
          <w:bCs/>
        </w:rPr>
        <w:t xml:space="preserve">for agencies that are unable to amend </w:t>
      </w:r>
      <w:r>
        <w:rPr>
          <w:b/>
          <w:bCs/>
        </w:rPr>
        <w:t xml:space="preserve">or supplement </w:t>
      </w:r>
      <w:r w:rsidRPr="00D72E26">
        <w:rPr>
          <w:b/>
          <w:bCs/>
        </w:rPr>
        <w:t>current contracts</w:t>
      </w:r>
      <w:r>
        <w:t xml:space="preserve">, it is temporarily acceptable for the third party that contracted with the agency to incorporate the complete </w:t>
      </w:r>
      <w:r w:rsidR="008A286A">
        <w:t>agency</w:t>
      </w:r>
      <w:r>
        <w:t xml:space="preserve"> contract into its subcontracts with individual auditors and attach the full contract, provided that the necessary signatures of all parties are included</w:t>
      </w:r>
      <w:r w:rsidR="00DB135E">
        <w:t>,</w:t>
      </w:r>
      <w:r>
        <w:t xml:space="preserve"> either as signatures to the auditor’s subcontract or in the incorporated agency contract, and </w:t>
      </w:r>
      <w:r w:rsidR="007900B5">
        <w:t xml:space="preserve">that </w:t>
      </w:r>
      <w:r>
        <w:t>all other required contract elements are present.</w:t>
      </w:r>
      <w:r w:rsidR="00DB135E">
        <w:t xml:space="preserve"> Any future changes to these requirements will be communicated to DOJ-certified auditors, third</w:t>
      </w:r>
      <w:r w:rsidR="007900B5">
        <w:t>-</w:t>
      </w:r>
      <w:r w:rsidR="00DB135E">
        <w:t>party auditing organizations, and other relevant parties</w:t>
      </w:r>
      <w:r w:rsidR="00294A6D">
        <w:t>,</w:t>
      </w:r>
      <w:r w:rsidR="00DB135E">
        <w:t xml:space="preserve"> well in advance of when changes </w:t>
      </w:r>
      <w:r w:rsidR="00294A6D">
        <w:t>will be</w:t>
      </w:r>
      <w:r w:rsidR="00DB135E">
        <w:t xml:space="preserve"> implemented.  </w:t>
      </w:r>
    </w:p>
    <w:p w14:paraId="00CE7604" w14:textId="4EC98C8D" w:rsidR="00361E7F" w:rsidRDefault="00DA0CDB" w:rsidP="00361E7F">
      <w:pPr>
        <w:pStyle w:val="Heading1"/>
      </w:pPr>
      <w:r>
        <w:t>Question</w:t>
      </w:r>
      <w:r w:rsidR="00361E7F">
        <w:t>s raised and clarifying responses</w:t>
      </w:r>
    </w:p>
    <w:p w14:paraId="116CDA4D" w14:textId="1321D901" w:rsidR="00ED353F" w:rsidRPr="00ED353F" w:rsidRDefault="00ED353F" w:rsidP="00DA0CDB">
      <w:r>
        <w:t xml:space="preserve">The following </w:t>
      </w:r>
      <w:r w:rsidR="00F261D5">
        <w:t>questions</w:t>
      </w:r>
      <w:r>
        <w:t xml:space="preserve"> have been raised by DOJ-certified PREA auditors, third</w:t>
      </w:r>
      <w:r w:rsidR="007900B5">
        <w:t>-</w:t>
      </w:r>
      <w:r>
        <w:t xml:space="preserve">party auditing organizations, representatives from agencies and facilities receiving audits, and other stakeholders. The DOJ PMO and </w:t>
      </w:r>
      <w:r w:rsidR="00DA0CDB">
        <w:t>its</w:t>
      </w:r>
      <w:r>
        <w:t xml:space="preserve"> partners at the National PREA Resource Center are offering written responses to these </w:t>
      </w:r>
      <w:r w:rsidR="00DA0CDB">
        <w:t>question</w:t>
      </w:r>
      <w:r>
        <w:t xml:space="preserve">s below. As additional </w:t>
      </w:r>
      <w:r w:rsidR="00DA0CDB">
        <w:t>question</w:t>
      </w:r>
      <w:r>
        <w:t xml:space="preserve">s are raised, this document will be updated. </w:t>
      </w:r>
    </w:p>
    <w:p w14:paraId="0B92223E" w14:textId="77777777" w:rsidR="00361E7F" w:rsidRDefault="00361E7F" w:rsidP="00361E7F">
      <w:pPr>
        <w:pStyle w:val="Heading2"/>
      </w:pPr>
      <w:r>
        <w:t>Issue 1</w:t>
      </w:r>
    </w:p>
    <w:p w14:paraId="00384D24" w14:textId="77777777" w:rsidR="00361E7F" w:rsidRDefault="00361E7F" w:rsidP="00361E7F">
      <w:r>
        <w:t xml:space="preserve">Do the </w:t>
      </w:r>
      <w:r w:rsidRPr="008A286A">
        <w:t>signatures in an audit contract have to be electronic,</w:t>
      </w:r>
      <w:r>
        <w:t xml:space="preserve"> or is a handwritten signature acceptable?</w:t>
      </w:r>
    </w:p>
    <w:p w14:paraId="0AF407EE" w14:textId="77777777" w:rsidR="00361E7F" w:rsidRDefault="00361E7F" w:rsidP="00361E7F">
      <w:pPr>
        <w:pStyle w:val="Heading3"/>
        <w:ind w:left="720"/>
      </w:pPr>
      <w:r>
        <w:t>Response</w:t>
      </w:r>
    </w:p>
    <w:p w14:paraId="4EE0E6E1" w14:textId="67FA34D2" w:rsidR="00361E7F" w:rsidRDefault="00361E7F" w:rsidP="00361E7F">
      <w:pPr>
        <w:ind w:left="720"/>
      </w:pPr>
      <w:r>
        <w:t>Electronic signature is preferable, but where not possible, another form is fine</w:t>
      </w:r>
      <w:r w:rsidR="007900B5">
        <w:t xml:space="preserve"> if </w:t>
      </w:r>
      <w:r>
        <w:t>all parties agree that the form of the signature being used is legally binding. For example, a typed name, scanned image of a signature</w:t>
      </w:r>
      <w:r w:rsidR="00DB135E">
        <w:t>,</w:t>
      </w:r>
      <w:r>
        <w:t xml:space="preserve"> or actual written signature </w:t>
      </w:r>
      <w:r w:rsidR="00DB135E">
        <w:t>is</w:t>
      </w:r>
      <w:r>
        <w:t xml:space="preserve"> fine.</w:t>
      </w:r>
    </w:p>
    <w:p w14:paraId="250612CB" w14:textId="77777777" w:rsidR="00361E7F" w:rsidRDefault="00361E7F" w:rsidP="00361E7F">
      <w:pPr>
        <w:pStyle w:val="Heading2"/>
      </w:pPr>
      <w:r>
        <w:t>Issue 2</w:t>
      </w:r>
    </w:p>
    <w:p w14:paraId="750BCC83" w14:textId="4CD154C8" w:rsidR="00361E7F" w:rsidRDefault="00361E7F" w:rsidP="00361E7F">
      <w:pPr>
        <w:rPr>
          <w:b/>
          <w:bCs/>
        </w:rPr>
      </w:pPr>
      <w:r w:rsidRPr="00F669D9">
        <w:t xml:space="preserve">Does information in the audit contract relevant to fees, </w:t>
      </w:r>
      <w:r w:rsidRPr="008A286A">
        <w:t>expenses, and other forms of compensation paid to the auditor for completing the agreed</w:t>
      </w:r>
      <w:r w:rsidR="00714F13">
        <w:t>-</w:t>
      </w:r>
      <w:r w:rsidRPr="008A286A">
        <w:t>upon audit(s) need to detail the work done in each phase of the audit?</w:t>
      </w:r>
    </w:p>
    <w:p w14:paraId="60B1A477" w14:textId="77777777" w:rsidR="00361E7F" w:rsidRDefault="00361E7F" w:rsidP="00361E7F">
      <w:pPr>
        <w:pStyle w:val="Heading3"/>
        <w:ind w:left="720"/>
      </w:pPr>
      <w:r>
        <w:t>Response</w:t>
      </w:r>
    </w:p>
    <w:p w14:paraId="19FF5235" w14:textId="6C4D827B" w:rsidR="00361E7F" w:rsidRDefault="00361E7F" w:rsidP="000A650B">
      <w:pPr>
        <w:ind w:left="720"/>
      </w:pPr>
      <w:r w:rsidRPr="008A286A">
        <w:t>No</w:t>
      </w:r>
      <w:r w:rsidR="00622829">
        <w:t>.</w:t>
      </w:r>
      <w:r w:rsidRPr="00F669D9">
        <w:t xml:space="preserve"> </w:t>
      </w:r>
      <w:r w:rsidR="00622829">
        <w:t>T</w:t>
      </w:r>
      <w:r w:rsidRPr="00F669D9">
        <w:t xml:space="preserve">he </w:t>
      </w:r>
      <w:r>
        <w:t xml:space="preserve">DOJ </w:t>
      </w:r>
      <w:r w:rsidRPr="00F669D9">
        <w:t xml:space="preserve">PMO expects </w:t>
      </w:r>
      <w:r>
        <w:t>auditors</w:t>
      </w:r>
      <w:r w:rsidRPr="00F669D9">
        <w:t xml:space="preserve"> </w:t>
      </w:r>
      <w:r>
        <w:t>to</w:t>
      </w:r>
      <w:r w:rsidRPr="00F669D9">
        <w:t xml:space="preserve"> enter contract</w:t>
      </w:r>
      <w:r>
        <w:t>s</w:t>
      </w:r>
      <w:r w:rsidRPr="00F669D9">
        <w:t xml:space="preserve"> with sufficient detail to govern the work in a way that is satisfactory to the parties</w:t>
      </w:r>
      <w:r w:rsidR="00D61DE4">
        <w:t>,</w:t>
      </w:r>
      <w:r w:rsidRPr="00F669D9">
        <w:t xml:space="preserve"> and that </w:t>
      </w:r>
      <w:r w:rsidR="00622829">
        <w:t>is</w:t>
      </w:r>
      <w:r w:rsidRPr="00F669D9">
        <w:t xml:space="preserve"> consistent with the auditor’s required responsibilities. </w:t>
      </w:r>
      <w:r w:rsidR="00622829">
        <w:t xml:space="preserve">The DOJ PMO is not requiring contracts to </w:t>
      </w:r>
      <w:r w:rsidR="00D62AB7">
        <w:t>detail</w:t>
      </w:r>
      <w:r w:rsidR="00622829">
        <w:t xml:space="preserve"> fees associated with each phase of the audit.</w:t>
      </w:r>
      <w:r w:rsidRPr="00F669D9">
        <w:t xml:space="preserve"> </w:t>
      </w:r>
      <w:r w:rsidR="00D61DE4" w:rsidRPr="00F669D9">
        <w:t>It</w:t>
      </w:r>
      <w:r w:rsidR="00D61DE4">
        <w:t xml:space="preserve"> is acceptable for auditors</w:t>
      </w:r>
      <w:r w:rsidR="00D61DE4" w:rsidRPr="008A286A">
        <w:t xml:space="preserve"> to indicate whatever</w:t>
      </w:r>
      <w:r w:rsidR="00D61DE4">
        <w:t xml:space="preserve"> fee structure</w:t>
      </w:r>
      <w:r w:rsidR="00D61DE4" w:rsidRPr="008A286A">
        <w:t xml:space="preserve"> has been negotiated</w:t>
      </w:r>
      <w:r w:rsidR="00D61DE4">
        <w:t xml:space="preserve">, such as </w:t>
      </w:r>
      <w:r w:rsidR="00D61DE4" w:rsidRPr="008A286A">
        <w:t>a daily or hourly rate</w:t>
      </w:r>
      <w:r w:rsidR="00D61DE4">
        <w:t>,</w:t>
      </w:r>
      <w:r w:rsidR="00D61DE4" w:rsidRPr="008A286A">
        <w:t xml:space="preserve"> or a rate for some other unit of work</w:t>
      </w:r>
      <w:r w:rsidR="00D61DE4" w:rsidRPr="00F669D9">
        <w:t>.</w:t>
      </w:r>
    </w:p>
    <w:p w14:paraId="73018116" w14:textId="7CFAF788" w:rsidR="00361E7F" w:rsidRDefault="00361E7F" w:rsidP="00361E7F">
      <w:pPr>
        <w:ind w:left="720"/>
      </w:pPr>
      <w:r>
        <w:t xml:space="preserve">Please note: </w:t>
      </w:r>
      <w:r w:rsidR="0069790E">
        <w:t>I</w:t>
      </w:r>
      <w:r w:rsidR="00D61DE4">
        <w:t>t is not possible to predict how much time and work a future audit will require</w:t>
      </w:r>
      <w:r w:rsidR="0069790E">
        <w:t>. A</w:t>
      </w:r>
      <w:r w:rsidR="00D61DE4">
        <w:t xml:space="preserve">ll DOJ-certified auditors </w:t>
      </w:r>
      <w:r w:rsidR="001D4993">
        <w:t xml:space="preserve">must </w:t>
      </w:r>
      <w:r w:rsidR="00D61DE4">
        <w:t>carry out their work under contracts that are consistent with the PREA Auditor Handbook and other documents and resources that define DOJ’s expectations of auditors.</w:t>
      </w:r>
      <w:r w:rsidRPr="00F669D9">
        <w:t xml:space="preserve"> </w:t>
      </w:r>
    </w:p>
    <w:p w14:paraId="43C70C2E" w14:textId="77777777" w:rsidR="00326127" w:rsidRDefault="00326127" w:rsidP="00361E7F">
      <w:pPr>
        <w:pStyle w:val="Heading2"/>
      </w:pPr>
    </w:p>
    <w:p w14:paraId="1BC20DEC" w14:textId="377FFAD8" w:rsidR="00361E7F" w:rsidRDefault="00361E7F" w:rsidP="00361E7F">
      <w:pPr>
        <w:pStyle w:val="Heading2"/>
      </w:pPr>
      <w:r>
        <w:t>Issue 3</w:t>
      </w:r>
    </w:p>
    <w:p w14:paraId="7E9CE3FB" w14:textId="74938CEF" w:rsidR="00361E7F" w:rsidRDefault="00361E7F" w:rsidP="00361E7F">
      <w:r>
        <w:t xml:space="preserve">Some states use a </w:t>
      </w:r>
      <w:r w:rsidR="00ED353F">
        <w:t>Request for Proposals (</w:t>
      </w:r>
      <w:r>
        <w:t>RFP</w:t>
      </w:r>
      <w:r w:rsidR="00ED353F">
        <w:t>)</w:t>
      </w:r>
      <w:r>
        <w:t xml:space="preserve"> process for procuring auditing services, and frequently the resulting award includes the overall amount paid to an auditor for the conduct of multiple facilities under the </w:t>
      </w:r>
      <w:r w:rsidR="003811D0">
        <w:t>g</w:t>
      </w:r>
      <w:r>
        <w:t>overnor’s operational control. Can audit contracts include this bulk price or does the price paid for each audit need to be provided?</w:t>
      </w:r>
    </w:p>
    <w:p w14:paraId="63E31ECD" w14:textId="77777777" w:rsidR="00361E7F" w:rsidRDefault="00361E7F" w:rsidP="00361E7F">
      <w:pPr>
        <w:pStyle w:val="Heading3"/>
        <w:ind w:left="720"/>
      </w:pPr>
      <w:r>
        <w:t>Response</w:t>
      </w:r>
    </w:p>
    <w:p w14:paraId="1B2179D0" w14:textId="2E2308D3" w:rsidR="00361E7F" w:rsidRDefault="00361E7F" w:rsidP="00361E7F">
      <w:pPr>
        <w:ind w:left="720"/>
      </w:pPr>
      <w:r w:rsidRPr="00F669D9">
        <w:t xml:space="preserve">Audit contracts </w:t>
      </w:r>
      <w:r w:rsidR="00ED353F">
        <w:t>must</w:t>
      </w:r>
      <w:r w:rsidRPr="00F669D9">
        <w:t xml:space="preserve"> disclose the fees, expenses</w:t>
      </w:r>
      <w:r w:rsidR="00ED353F">
        <w:t>,</w:t>
      </w:r>
      <w:r w:rsidRPr="00F669D9">
        <w:t xml:space="preserve"> and other compensation paid for</w:t>
      </w:r>
      <w:r w:rsidRPr="008A286A">
        <w:t xml:space="preserve"> </w:t>
      </w:r>
      <w:r w:rsidRPr="008A286A">
        <w:rPr>
          <w:u w:val="single"/>
        </w:rPr>
        <w:t>each</w:t>
      </w:r>
      <w:r w:rsidRPr="00F669D9">
        <w:t xml:space="preserve"> audit where the auditor acts as </w:t>
      </w:r>
      <w:r w:rsidR="00ED353F">
        <w:t>L</w:t>
      </w:r>
      <w:r w:rsidRPr="00F669D9">
        <w:t xml:space="preserve">ead </w:t>
      </w:r>
      <w:r w:rsidR="00ED353F">
        <w:t>A</w:t>
      </w:r>
      <w:r w:rsidRPr="00F669D9">
        <w:t>uditor. It</w:t>
      </w:r>
      <w:r w:rsidR="00ED353F">
        <w:t xml:space="preserve"> is</w:t>
      </w:r>
      <w:r w:rsidRPr="00F669D9">
        <w:t xml:space="preserve"> fine if the contract lists more than one or lists the bulk price, </w:t>
      </w:r>
      <w:proofErr w:type="gramStart"/>
      <w:r w:rsidRPr="00F669D9">
        <w:t>as long as</w:t>
      </w:r>
      <w:proofErr w:type="gramEnd"/>
      <w:r w:rsidRPr="00F669D9">
        <w:t xml:space="preserve"> the information is there in the contract</w:t>
      </w:r>
      <w:r w:rsidR="00ED353F">
        <w:t>,</w:t>
      </w:r>
      <w:r w:rsidRPr="00F669D9">
        <w:t xml:space="preserve"> or a signed attachment</w:t>
      </w:r>
      <w:r w:rsidR="00ED353F">
        <w:t>,</w:t>
      </w:r>
      <w:r w:rsidRPr="00F669D9">
        <w:t xml:space="preserve"> to indicate the individual fees and costs for the one audit being initiated. Every audit being initiated </w:t>
      </w:r>
      <w:r w:rsidR="00ED353F">
        <w:t>requires</w:t>
      </w:r>
      <w:r w:rsidRPr="00F669D9">
        <w:t xml:space="preserve"> an </w:t>
      </w:r>
      <w:r w:rsidR="00ED353F">
        <w:t>A</w:t>
      </w:r>
      <w:r w:rsidRPr="00F669D9">
        <w:t xml:space="preserve">udit </w:t>
      </w:r>
      <w:r w:rsidR="00ED353F">
        <w:t>I</w:t>
      </w:r>
      <w:r w:rsidRPr="00F669D9">
        <w:t xml:space="preserve">nitiation </w:t>
      </w:r>
      <w:r w:rsidR="00ED353F">
        <w:t>F</w:t>
      </w:r>
      <w:r w:rsidRPr="00F669D9">
        <w:t xml:space="preserve">orm and an uploaded contract with the </w:t>
      </w:r>
      <w:r w:rsidR="00E01646">
        <w:t>five</w:t>
      </w:r>
      <w:r w:rsidRPr="00F669D9">
        <w:t xml:space="preserve"> </w:t>
      </w:r>
      <w:r>
        <w:t xml:space="preserve">required </w:t>
      </w:r>
      <w:r w:rsidRPr="00F669D9">
        <w:t>pieces of information</w:t>
      </w:r>
      <w:r w:rsidR="00ED353F">
        <w:t xml:space="preserve"> listed above</w:t>
      </w:r>
      <w:r>
        <w:t>.</w:t>
      </w:r>
    </w:p>
    <w:p w14:paraId="6E4AE425" w14:textId="77777777" w:rsidR="00361E7F" w:rsidRPr="008A286A" w:rsidRDefault="00361E7F" w:rsidP="00361E7F">
      <w:pPr>
        <w:pStyle w:val="Heading2"/>
        <w:rPr>
          <w:b w:val="0"/>
          <w:bCs w:val="0"/>
        </w:rPr>
      </w:pPr>
      <w:r>
        <w:t>Issue 4</w:t>
      </w:r>
    </w:p>
    <w:p w14:paraId="4A1F5980" w14:textId="6E730E8C" w:rsidR="00361E7F" w:rsidRDefault="00361E7F" w:rsidP="00361E7F">
      <w:r w:rsidRPr="008A286A">
        <w:t>Many contracts have terms for multiple years</w:t>
      </w:r>
      <w:r w:rsidRPr="0075252A">
        <w:t xml:space="preserve"> and may not include onsite dates for every audit </w:t>
      </w:r>
      <w:r w:rsidR="008C17FF" w:rsidRPr="0075252A">
        <w:t xml:space="preserve">included </w:t>
      </w:r>
      <w:r w:rsidRPr="0075252A">
        <w:t>in the base agreement. In these circumstances, audit scheduling occurs after the agreement has been concluded and several weeks or months prior to the initiation of the given audit(s). How may auditors or third</w:t>
      </w:r>
      <w:r w:rsidR="008C17FF">
        <w:t xml:space="preserve"> </w:t>
      </w:r>
      <w:r w:rsidRPr="0075252A">
        <w:t>parties meet the audit contract requirements in these circumstances?</w:t>
      </w:r>
    </w:p>
    <w:p w14:paraId="2FB9594B" w14:textId="77777777" w:rsidR="00361E7F" w:rsidRDefault="00361E7F" w:rsidP="00361E7F">
      <w:pPr>
        <w:pStyle w:val="Heading3"/>
        <w:ind w:left="720"/>
      </w:pPr>
      <w:r>
        <w:t>Response</w:t>
      </w:r>
    </w:p>
    <w:p w14:paraId="74A36B42" w14:textId="19CECD2C" w:rsidR="00361E7F" w:rsidRDefault="00361E7F" w:rsidP="00361E7F">
      <w:pPr>
        <w:ind w:left="720"/>
      </w:pPr>
      <w:r w:rsidRPr="0075252A">
        <w:t>In the circumstances described, the auditor should provide both the base agreement for multiple years and an amendment or supplement with the required signatures that provides the up-to-date schedule and other information needed to comply with all five required elements (</w:t>
      </w:r>
      <w:r w:rsidR="00ED353F">
        <w:t xml:space="preserve">i.e., </w:t>
      </w:r>
      <w:r w:rsidRPr="0075252A">
        <w:t>signature of all parties, lead auditor’s name, facility to be audited, anticipated dates for the onsite portion, and fees, expenses</w:t>
      </w:r>
      <w:r w:rsidR="008C17FF">
        <w:t>,</w:t>
      </w:r>
      <w:r w:rsidRPr="0075252A">
        <w:t xml:space="preserve"> and other compensation). </w:t>
      </w:r>
    </w:p>
    <w:p w14:paraId="3C56BB16" w14:textId="658E4663" w:rsidR="00361E7F" w:rsidRPr="005376E9" w:rsidRDefault="00361E7F" w:rsidP="00361E7F">
      <w:pPr>
        <w:ind w:left="720"/>
      </w:pPr>
      <w:r w:rsidRPr="0075252A">
        <w:t xml:space="preserve">For the time being, for agencies that </w:t>
      </w:r>
      <w:r>
        <w:t>are unable to</w:t>
      </w:r>
      <w:r w:rsidRPr="0075252A">
        <w:t xml:space="preserve"> add individual auditors to be parties to an already granted </w:t>
      </w:r>
      <w:r w:rsidR="00ED353F">
        <w:t>contract</w:t>
      </w:r>
      <w:r w:rsidRPr="0075252A">
        <w:t xml:space="preserve"> under an RFP, a signed subcontract for the </w:t>
      </w:r>
      <w:r w:rsidR="00ED353F">
        <w:t>L</w:t>
      </w:r>
      <w:r>
        <w:t xml:space="preserve">ead </w:t>
      </w:r>
      <w:r w:rsidR="00ED353F">
        <w:t>A</w:t>
      </w:r>
      <w:r w:rsidRPr="0075252A">
        <w:t>udit</w:t>
      </w:r>
      <w:r>
        <w:t>or</w:t>
      </w:r>
      <w:r w:rsidRPr="0075252A">
        <w:t xml:space="preserve"> that includes the entire base multi-year </w:t>
      </w:r>
      <w:r>
        <w:t xml:space="preserve">agency </w:t>
      </w:r>
      <w:r w:rsidRPr="0075252A">
        <w:t>contract as an incorporated attachment will also satisfy the requirement that the contract include signatures of all parties</w:t>
      </w:r>
      <w:r w:rsidR="00ED353F">
        <w:t>.</w:t>
      </w:r>
      <w:r w:rsidRPr="0075252A">
        <w:t xml:space="preserve"> </w:t>
      </w:r>
      <w:r w:rsidR="0021540F">
        <w:t>In this case,</w:t>
      </w:r>
      <w:r w:rsidRPr="0075252A">
        <w:t xml:space="preserve"> the </w:t>
      </w:r>
      <w:r w:rsidR="0021540F">
        <w:t>third</w:t>
      </w:r>
      <w:r w:rsidR="0051307D">
        <w:t>-</w:t>
      </w:r>
      <w:r w:rsidR="0021540F">
        <w:t xml:space="preserve">party </w:t>
      </w:r>
      <w:r w:rsidRPr="0075252A">
        <w:t xml:space="preserve">organization to win the multi-year contract and the auditor for the individual audit </w:t>
      </w:r>
      <w:r w:rsidR="0021540F">
        <w:t>must</w:t>
      </w:r>
      <w:r w:rsidR="00392BD3">
        <w:t xml:space="preserve"> </w:t>
      </w:r>
      <w:r w:rsidR="0021540F">
        <w:t xml:space="preserve">sign </w:t>
      </w:r>
      <w:r w:rsidRPr="0075252A">
        <w:t xml:space="preserve">the subcontract, and the other required contract elements </w:t>
      </w:r>
      <w:r w:rsidR="0021540F">
        <w:t>must also be included.</w:t>
      </w:r>
    </w:p>
    <w:p w14:paraId="66541B6C" w14:textId="77777777" w:rsidR="00361E7F" w:rsidRDefault="00361E7F" w:rsidP="00361E7F">
      <w:pPr>
        <w:pStyle w:val="Heading2"/>
      </w:pPr>
      <w:r>
        <w:t>Issue 5</w:t>
      </w:r>
    </w:p>
    <w:p w14:paraId="43ACF5AC" w14:textId="77777777" w:rsidR="00361E7F" w:rsidRDefault="00361E7F" w:rsidP="00361E7F">
      <w:r>
        <w:t>Will the Audit Assignment System impact existing contracts for audits?</w:t>
      </w:r>
    </w:p>
    <w:p w14:paraId="5D598F7D" w14:textId="77777777" w:rsidR="00361E7F" w:rsidRDefault="00361E7F" w:rsidP="00361E7F">
      <w:pPr>
        <w:pStyle w:val="Heading3"/>
        <w:ind w:left="720"/>
      </w:pPr>
      <w:r>
        <w:t>Response</w:t>
      </w:r>
    </w:p>
    <w:p w14:paraId="4FE29D9A" w14:textId="6447F6BD" w:rsidR="00361E7F" w:rsidRDefault="00361E7F" w:rsidP="00361E7F">
      <w:pPr>
        <w:ind w:left="720"/>
      </w:pPr>
      <w:r w:rsidRPr="0075252A">
        <w:t>The intent of the Audit Assignment System is not to replace or interfere with existing</w:t>
      </w:r>
      <w:r w:rsidR="0021540F">
        <w:t xml:space="preserve"> PREA auditing contracts, </w:t>
      </w:r>
      <w:r w:rsidRPr="0075252A">
        <w:t xml:space="preserve">relationships </w:t>
      </w:r>
      <w:r w:rsidR="0021540F">
        <w:t xml:space="preserve">between parties that have </w:t>
      </w:r>
      <w:proofErr w:type="gramStart"/>
      <w:r w:rsidR="0021540F">
        <w:t>entered into</w:t>
      </w:r>
      <w:proofErr w:type="gramEnd"/>
      <w:r w:rsidR="0021540F">
        <w:t xml:space="preserve"> a contractual arrangement for the conduct of audits, </w:t>
      </w:r>
      <w:r w:rsidRPr="0075252A">
        <w:t xml:space="preserve">or scheduled audits. </w:t>
      </w:r>
      <w:r w:rsidR="00861C62">
        <w:t xml:space="preserve">However, </w:t>
      </w:r>
      <w:r w:rsidR="00861C62" w:rsidRPr="0075252A">
        <w:t>after</w:t>
      </w:r>
      <w:r w:rsidR="0021540F">
        <w:t xml:space="preserve"> </w:t>
      </w:r>
      <w:r w:rsidRPr="0075252A">
        <w:t>June 30,</w:t>
      </w:r>
      <w:r w:rsidR="0021540F">
        <w:t xml:space="preserve"> 2022,</w:t>
      </w:r>
      <w:r w:rsidRPr="0075252A">
        <w:t xml:space="preserve"> any new</w:t>
      </w:r>
      <w:r w:rsidR="00861C62">
        <w:t>ly</w:t>
      </w:r>
      <w:r w:rsidRPr="0075252A">
        <w:t xml:space="preserve"> initiated audit is expected to meet the requirements outlined</w:t>
      </w:r>
      <w:r w:rsidR="0021540F">
        <w:t xml:space="preserve"> in this document</w:t>
      </w:r>
      <w:r w:rsidRPr="0075252A">
        <w:t>, including those where the contract was in place prior to June 30</w:t>
      </w:r>
      <w:r w:rsidR="0021540F">
        <w:t>, 2022</w:t>
      </w:r>
      <w:r w:rsidRPr="0075252A">
        <w:t xml:space="preserve">. </w:t>
      </w:r>
      <w:r w:rsidR="0021540F">
        <w:t>In the months after the implementation of the Audit Assignment System,</w:t>
      </w:r>
      <w:r w:rsidRPr="00120536">
        <w:t xml:space="preserve"> </w:t>
      </w:r>
      <w:r w:rsidR="0021540F">
        <w:t xml:space="preserve">the </w:t>
      </w:r>
      <w:r>
        <w:t xml:space="preserve">DOJ </w:t>
      </w:r>
      <w:r w:rsidRPr="00120536">
        <w:t>PMO</w:t>
      </w:r>
      <w:r w:rsidR="0021540F">
        <w:t xml:space="preserve"> is taking a flexible approach</w:t>
      </w:r>
      <w:r w:rsidRPr="0075252A">
        <w:t xml:space="preserve"> for contracts</w:t>
      </w:r>
      <w:r w:rsidR="0021540F">
        <w:t xml:space="preserve"> where the parties, including the individual auditor,</w:t>
      </w:r>
      <w:r w:rsidR="000A650B">
        <w:t xml:space="preserve"> </w:t>
      </w:r>
      <w:r w:rsidR="0021540F">
        <w:t xml:space="preserve">have </w:t>
      </w:r>
      <w:r w:rsidRPr="0075252A">
        <w:t xml:space="preserve">made a good faith effort to submit </w:t>
      </w:r>
      <w:r w:rsidR="0021540F">
        <w:t>information</w:t>
      </w:r>
      <w:r w:rsidRPr="0075252A">
        <w:t xml:space="preserve"> </w:t>
      </w:r>
      <w:r w:rsidR="0021540F">
        <w:t>that complies</w:t>
      </w:r>
      <w:r w:rsidRPr="0075252A">
        <w:t xml:space="preserve"> </w:t>
      </w:r>
      <w:r w:rsidR="00392BD3">
        <w:t xml:space="preserve">with </w:t>
      </w:r>
      <w:r w:rsidR="0021540F">
        <w:t xml:space="preserve">all five </w:t>
      </w:r>
      <w:r w:rsidRPr="0075252A">
        <w:t>element</w:t>
      </w:r>
      <w:r w:rsidR="0021540F">
        <w:t>s defined above. As emphasized above,</w:t>
      </w:r>
      <w:r w:rsidR="00294A6D">
        <w:t xml:space="preserve"> any </w:t>
      </w:r>
      <w:r w:rsidR="0021540F">
        <w:t>future changes to th</w:t>
      </w:r>
      <w:r w:rsidR="00294A6D">
        <w:t>e</w:t>
      </w:r>
      <w:r w:rsidR="0021540F">
        <w:t xml:space="preserve"> requirements </w:t>
      </w:r>
      <w:r w:rsidR="00294A6D">
        <w:t xml:space="preserve">defined in this document </w:t>
      </w:r>
      <w:r w:rsidR="0021540F">
        <w:t>will be communicated to DOJ-certified auditors, third</w:t>
      </w:r>
      <w:r w:rsidR="008369D0">
        <w:t>-</w:t>
      </w:r>
      <w:r w:rsidR="0021540F">
        <w:t xml:space="preserve">party auditing organizations, and other relevant parties well in advance of when changes </w:t>
      </w:r>
      <w:r w:rsidR="00294A6D">
        <w:t>will be</w:t>
      </w:r>
      <w:r w:rsidR="0021540F">
        <w:t xml:space="preserve"> implemented.  </w:t>
      </w:r>
    </w:p>
    <w:p w14:paraId="01A8E654" w14:textId="77777777" w:rsidR="00326127" w:rsidRDefault="00326127" w:rsidP="00361E7F">
      <w:pPr>
        <w:pStyle w:val="Heading2"/>
      </w:pPr>
    </w:p>
    <w:p w14:paraId="43C50C10" w14:textId="4F3D6718" w:rsidR="00361E7F" w:rsidRDefault="00361E7F" w:rsidP="00361E7F">
      <w:pPr>
        <w:pStyle w:val="Heading2"/>
      </w:pPr>
      <w:r>
        <w:t>Issue 6</w:t>
      </w:r>
    </w:p>
    <w:p w14:paraId="796CA9F6" w14:textId="77777777" w:rsidR="00361E7F" w:rsidRDefault="00361E7F" w:rsidP="00361E7F">
      <w:r>
        <w:t>How long will it take to get approval once everything is submitted?</w:t>
      </w:r>
    </w:p>
    <w:p w14:paraId="58C12EA3" w14:textId="77777777" w:rsidR="00361E7F" w:rsidRDefault="00361E7F" w:rsidP="00361E7F">
      <w:pPr>
        <w:pStyle w:val="Heading3"/>
        <w:ind w:left="720"/>
      </w:pPr>
      <w:r>
        <w:t>Response</w:t>
      </w:r>
    </w:p>
    <w:p w14:paraId="06270F31" w14:textId="7E143622" w:rsidR="00361E7F" w:rsidRDefault="00361E7F" w:rsidP="00361E7F">
      <w:pPr>
        <w:ind w:left="720"/>
      </w:pPr>
      <w:r w:rsidRPr="005376E9">
        <w:t xml:space="preserve">It will take 2-3 business days for contracts that include all required information. If all the required elements are not </w:t>
      </w:r>
      <w:r w:rsidR="000A650B">
        <w:t>in the contract or agreement</w:t>
      </w:r>
      <w:r w:rsidRPr="005376E9">
        <w:t xml:space="preserve">, </w:t>
      </w:r>
      <w:r w:rsidR="008369D0">
        <w:t xml:space="preserve">the </w:t>
      </w:r>
      <w:r>
        <w:t xml:space="preserve">DOJ </w:t>
      </w:r>
      <w:r w:rsidRPr="005376E9">
        <w:t xml:space="preserve">PMO and </w:t>
      </w:r>
      <w:r>
        <w:t xml:space="preserve">the </w:t>
      </w:r>
      <w:r w:rsidRPr="005376E9">
        <w:t>P</w:t>
      </w:r>
      <w:r>
        <w:t>REA Resource Center</w:t>
      </w:r>
      <w:r w:rsidRPr="005376E9">
        <w:t xml:space="preserve"> will send a notice </w:t>
      </w:r>
      <w:r w:rsidR="000A650B">
        <w:t xml:space="preserve">to the auditor </w:t>
      </w:r>
      <w:r w:rsidRPr="005376E9">
        <w:t xml:space="preserve">describing the insufficiency within </w:t>
      </w:r>
      <w:r w:rsidR="00530DBC">
        <w:t>three</w:t>
      </w:r>
      <w:r w:rsidRPr="005376E9">
        <w:t xml:space="preserve"> business days of the audit initiation submission. Then the auditor needs to submit a contract</w:t>
      </w:r>
      <w:r w:rsidR="00294A6D">
        <w:t xml:space="preserve"> with the necessary information</w:t>
      </w:r>
      <w:r w:rsidRPr="005376E9">
        <w:t>. Once it is provided, the review process starts again under the same time frames.</w:t>
      </w:r>
    </w:p>
    <w:p w14:paraId="237E7477" w14:textId="77777777" w:rsidR="00361E7F" w:rsidRDefault="00361E7F" w:rsidP="00361E7F">
      <w:pPr>
        <w:pStyle w:val="Heading2"/>
      </w:pPr>
      <w:r>
        <w:t>Issue 7</w:t>
      </w:r>
    </w:p>
    <w:p w14:paraId="4546AC68" w14:textId="77777777" w:rsidR="00361E7F" w:rsidRDefault="00361E7F" w:rsidP="00361E7F">
      <w:r w:rsidRPr="005376E9">
        <w:t>Will the facility or agency receive notice if the contract is found not to be sufficient?</w:t>
      </w:r>
    </w:p>
    <w:p w14:paraId="4350EDF1" w14:textId="77777777" w:rsidR="00361E7F" w:rsidRDefault="00361E7F" w:rsidP="00361E7F">
      <w:pPr>
        <w:pStyle w:val="Heading3"/>
        <w:ind w:left="720"/>
      </w:pPr>
      <w:r>
        <w:t>Response</w:t>
      </w:r>
    </w:p>
    <w:p w14:paraId="12C5206D" w14:textId="77777777" w:rsidR="00361E7F" w:rsidRDefault="00361E7F" w:rsidP="00361E7F">
      <w:pPr>
        <w:ind w:left="720"/>
      </w:pPr>
      <w:r w:rsidRPr="006B08C2">
        <w:t>No.</w:t>
      </w:r>
      <w:r w:rsidRPr="005376E9">
        <w:rPr>
          <w:b/>
          <w:bCs/>
        </w:rPr>
        <w:t xml:space="preserve"> </w:t>
      </w:r>
      <w:r w:rsidRPr="005376E9">
        <w:t>Notice will only go to the auditor who uploaded the contract.</w:t>
      </w:r>
    </w:p>
    <w:p w14:paraId="2F79C253" w14:textId="77777777" w:rsidR="00361E7F" w:rsidRDefault="00361E7F" w:rsidP="00361E7F">
      <w:pPr>
        <w:pStyle w:val="Heading2"/>
      </w:pPr>
      <w:r>
        <w:t>Issue 8</w:t>
      </w:r>
    </w:p>
    <w:p w14:paraId="6D20C3FD" w14:textId="77777777" w:rsidR="00361E7F" w:rsidRDefault="00361E7F" w:rsidP="00361E7F">
      <w:r w:rsidRPr="006871A5">
        <w:t>If the on-site date changes after the contract is signed, does it require a new contract or can it be updated with a form?</w:t>
      </w:r>
    </w:p>
    <w:p w14:paraId="1D0BB8F3" w14:textId="77777777" w:rsidR="00361E7F" w:rsidRDefault="00361E7F" w:rsidP="00361E7F">
      <w:pPr>
        <w:pStyle w:val="Heading3"/>
        <w:ind w:left="720"/>
      </w:pPr>
      <w:r>
        <w:t>Response</w:t>
      </w:r>
    </w:p>
    <w:p w14:paraId="65C2F574" w14:textId="4FE92EDD" w:rsidR="00361E7F" w:rsidRDefault="00361E7F" w:rsidP="00361E7F">
      <w:pPr>
        <w:ind w:left="720"/>
      </w:pPr>
      <w:r w:rsidRPr="006871A5">
        <w:t>Date changes may be reported during audit initiation without changing the contract</w:t>
      </w:r>
      <w:r w:rsidR="003C2ECC">
        <w:t>, by completing the Audit Initiation Form with the adjusted dates, or by attaching</w:t>
      </w:r>
      <w:r w:rsidRPr="006871A5">
        <w:t xml:space="preserve"> an addendum to the contract</w:t>
      </w:r>
      <w:r w:rsidR="00294A6D">
        <w:t>.</w:t>
      </w:r>
      <w:r w:rsidRPr="006871A5">
        <w:t xml:space="preserve"> </w:t>
      </w:r>
      <w:r w:rsidR="00294A6D">
        <w:t>I</w:t>
      </w:r>
      <w:r w:rsidRPr="006871A5">
        <w:t>f the</w:t>
      </w:r>
      <w:r w:rsidR="00294A6D">
        <w:t xml:space="preserve"> date changes</w:t>
      </w:r>
      <w:r w:rsidRPr="006871A5">
        <w:t xml:space="preserve"> occur after audit initiation,</w:t>
      </w:r>
      <w:r w:rsidR="00294A6D">
        <w:t xml:space="preserve"> the auditor must submit the changes via</w:t>
      </w:r>
      <w:r w:rsidRPr="006871A5">
        <w:t xml:space="preserve"> the Audit Change Form</w:t>
      </w:r>
      <w:r w:rsidR="00294A6D">
        <w:t>, so that the DOJ PMO has accurate information about the dates of the audit</w:t>
      </w:r>
      <w:r w:rsidRPr="006871A5">
        <w:t>.</w:t>
      </w:r>
    </w:p>
    <w:p w14:paraId="034F3F4E" w14:textId="77777777" w:rsidR="00361E7F" w:rsidRDefault="00361E7F" w:rsidP="00361E7F">
      <w:pPr>
        <w:pStyle w:val="Heading2"/>
      </w:pPr>
      <w:r>
        <w:t>Issue 9</w:t>
      </w:r>
    </w:p>
    <w:p w14:paraId="123C56D9" w14:textId="77777777" w:rsidR="00361E7F" w:rsidRDefault="00361E7F" w:rsidP="00361E7F">
      <w:r w:rsidRPr="006871A5">
        <w:t>Does the lead auditor receive an email that shows they have been approved to continue, which could be provided to the procuring agency?</w:t>
      </w:r>
    </w:p>
    <w:p w14:paraId="2FDC8F90" w14:textId="77777777" w:rsidR="00361E7F" w:rsidRDefault="00361E7F" w:rsidP="00361E7F">
      <w:pPr>
        <w:pStyle w:val="Heading3"/>
        <w:ind w:left="720"/>
      </w:pPr>
      <w:r>
        <w:t>Response</w:t>
      </w:r>
    </w:p>
    <w:p w14:paraId="3B7C51CB" w14:textId="77777777" w:rsidR="00361E7F" w:rsidRPr="006B08C2" w:rsidRDefault="00361E7F" w:rsidP="00361E7F">
      <w:pPr>
        <w:ind w:left="720"/>
      </w:pPr>
      <w:r w:rsidRPr="006B08C2">
        <w:t>Yes.</w:t>
      </w:r>
    </w:p>
    <w:p w14:paraId="2B5AA15A" w14:textId="77777777" w:rsidR="00361E7F" w:rsidRDefault="00361E7F" w:rsidP="00361E7F">
      <w:pPr>
        <w:pStyle w:val="Heading2"/>
      </w:pPr>
      <w:r>
        <w:t>Issue 10</w:t>
      </w:r>
    </w:p>
    <w:p w14:paraId="4EECD3E9" w14:textId="77777777" w:rsidR="00361E7F" w:rsidRDefault="00361E7F" w:rsidP="00361E7F">
      <w:r w:rsidRPr="006871A5">
        <w:t>Will there be standardized language required for the contract content?</w:t>
      </w:r>
    </w:p>
    <w:p w14:paraId="6E8A5FCB" w14:textId="77777777" w:rsidR="00361E7F" w:rsidRDefault="00361E7F" w:rsidP="00361E7F">
      <w:pPr>
        <w:pStyle w:val="Heading3"/>
        <w:ind w:left="720"/>
      </w:pPr>
      <w:r>
        <w:t>Response</w:t>
      </w:r>
    </w:p>
    <w:p w14:paraId="3C78F671" w14:textId="5CD37A3D" w:rsidR="00361E7F" w:rsidRPr="00361E7F" w:rsidRDefault="00361E7F" w:rsidP="00361E7F">
      <w:pPr>
        <w:ind w:left="720"/>
      </w:pPr>
      <w:r w:rsidRPr="006B08C2">
        <w:t>No.</w:t>
      </w:r>
      <w:r w:rsidRPr="006871A5">
        <w:t xml:space="preserve"> However, keep in mind that the Auditor Handbook, the Auditor Code of Conduct, the PREA </w:t>
      </w:r>
      <w:r>
        <w:t>S</w:t>
      </w:r>
      <w:r w:rsidRPr="006871A5">
        <w:t xml:space="preserve">tandards, and FAQs issued by the </w:t>
      </w:r>
      <w:r w:rsidR="00294A6D">
        <w:t>DOJ PREA Working Group</w:t>
      </w:r>
      <w:r w:rsidRPr="006871A5">
        <w:t xml:space="preserve"> include many requirements in order to conduct an effective audit. Contracts should require that auditors abide by all requirements of their</w:t>
      </w:r>
      <w:r w:rsidR="00294A6D">
        <w:t xml:space="preserve"> DOJ-issued</w:t>
      </w:r>
      <w:r w:rsidRPr="006871A5">
        <w:t xml:space="preserve"> certifications.</w:t>
      </w:r>
    </w:p>
    <w:p w14:paraId="43E7833C" w14:textId="77777777" w:rsidR="00361E7F" w:rsidRDefault="00361E7F" w:rsidP="00361E7F">
      <w:pPr>
        <w:rPr>
          <w:b/>
          <w:bCs/>
        </w:rPr>
      </w:pPr>
    </w:p>
    <w:p w14:paraId="07931523" w14:textId="13DDCB48" w:rsidR="00361E7F" w:rsidRPr="00B16279" w:rsidRDefault="00361E7F" w:rsidP="00361E7F">
      <w:pPr>
        <w:rPr>
          <w:rStyle w:val="Strong"/>
        </w:rPr>
      </w:pPr>
      <w:r w:rsidRPr="00B16279">
        <w:rPr>
          <w:rStyle w:val="Strong"/>
        </w:rPr>
        <w:t xml:space="preserve">Note: This is Version 1 of this guidance, dated </w:t>
      </w:r>
      <w:r w:rsidR="00584A29">
        <w:rPr>
          <w:rStyle w:val="Strong"/>
        </w:rPr>
        <w:t>August 1</w:t>
      </w:r>
      <w:r w:rsidRPr="00B16279">
        <w:rPr>
          <w:rStyle w:val="Strong"/>
        </w:rPr>
        <w:t xml:space="preserve">, 2022. As patterns emerge from contract review, the DOJ PMO may update the guidance and </w:t>
      </w:r>
      <w:r w:rsidR="008A286A">
        <w:rPr>
          <w:rStyle w:val="Strong"/>
        </w:rPr>
        <w:t xml:space="preserve">the PRC will </w:t>
      </w:r>
      <w:r w:rsidRPr="00B16279">
        <w:rPr>
          <w:rStyle w:val="Strong"/>
        </w:rPr>
        <w:t>share it with the field.</w:t>
      </w:r>
    </w:p>
    <w:p w14:paraId="7A042F47" w14:textId="77777777" w:rsidR="00361E7F" w:rsidRPr="00600652" w:rsidRDefault="00361E7F" w:rsidP="00361E7F">
      <w:pPr>
        <w:pStyle w:val="SubheadingDark"/>
      </w:pPr>
      <w:r w:rsidRPr="00600652">
        <w:lastRenderedPageBreak/>
        <w:t xml:space="preserve">Notice of Federal </w:t>
      </w:r>
      <w:r w:rsidRPr="00600652">
        <w:rPr>
          <w:rFonts w:ascii="Muli Light" w:hAnsi="Muli Light"/>
        </w:rPr>
        <w:t>Funding</w:t>
      </w:r>
      <w:r w:rsidRPr="00600652">
        <w:t xml:space="preserve"> and Federal Disclaimer</w:t>
      </w:r>
    </w:p>
    <w:p w14:paraId="6DA9DBCD" w14:textId="775CAA83" w:rsidR="00361E7F" w:rsidRPr="00361E7F" w:rsidRDefault="00361E7F" w:rsidP="00361E7F">
      <w:pPr>
        <w:rPr>
          <w:sz w:val="16"/>
          <w:szCs w:val="16"/>
        </w:rPr>
      </w:pPr>
      <w:r w:rsidRPr="00037E1A">
        <w:rPr>
          <w:sz w:val="16"/>
          <w:szCs w:val="16"/>
        </w:rPr>
        <w:t>This project was supported by Grant No. 2019-RP-BX-K001 awarded by the Bureau of Justice Assistance. The Bureau of Justice Assistance is a component of the Office of Justice Programs, which also includes the Bureau of Justice Statistics, the National Institute of Justice, the Office of Juvenile Justice and Delinquency Prevention, the Office for Victims of Crime, and the Office of Sex Offender Sentencing, Monitoring, Apprehending, Registering, and Tracking. The opinions, findings, and conclusions or recommendations expressed in this publication/program/exhibition are those of the author(s) and do not necessarily reflect the views of the Department of Justice or grant-making component.</w:t>
      </w:r>
    </w:p>
    <w:sectPr w:rsidR="00361E7F" w:rsidRPr="00361E7F" w:rsidSect="00B158E2">
      <w:footerReference w:type="default" r:id="rId10"/>
      <w:pgSz w:w="12240" w:h="15840"/>
      <w:pgMar w:top="720" w:right="144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7106" w14:textId="77777777" w:rsidR="00845E84" w:rsidRDefault="00845E84" w:rsidP="00D44B0F">
      <w:r>
        <w:separator/>
      </w:r>
    </w:p>
  </w:endnote>
  <w:endnote w:type="continuationSeparator" w:id="0">
    <w:p w14:paraId="1FD06F48" w14:textId="77777777" w:rsidR="00845E84" w:rsidRDefault="00845E84" w:rsidP="00D4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Pro-Md">
    <w:altName w:val="Arial"/>
    <w:panose1 w:val="020B0604020202020204"/>
    <w:charset w:val="4D"/>
    <w:family w:val="auto"/>
    <w:pitch w:val="default"/>
    <w:sig w:usb0="00000003" w:usb1="00000000" w:usb2="00000000" w:usb3="00000000" w:csb0="00000001" w:csb1="00000000"/>
  </w:font>
  <w:font w:name="Muli">
    <w:altName w:val="Calibri"/>
    <w:panose1 w:val="020B0604020202020204"/>
    <w:charset w:val="00"/>
    <w:family w:val="auto"/>
    <w:pitch w:val="variable"/>
    <w:sig w:usb0="A00000FF" w:usb1="5000204B" w:usb2="00000000" w:usb3="00000000" w:csb0="00000193" w:csb1="00000000"/>
  </w:font>
  <w:font w:name="Arial">
    <w:panose1 w:val="020B0604020202020204"/>
    <w:charset w:val="00"/>
    <w:family w:val="swiss"/>
    <w:pitch w:val="variable"/>
    <w:sig w:usb0="E0002AFF" w:usb1="C0007843" w:usb2="00000009" w:usb3="00000000" w:csb0="000001FF" w:csb1="00000000"/>
  </w:font>
  <w:font w:name="Muli Light">
    <w:altName w:val="Calibri"/>
    <w:panose1 w:val="020B0604020202020204"/>
    <w:charset w:val="00"/>
    <w:family w:val="auto"/>
    <w:pitch w:val="variable"/>
    <w:sig w:usb0="A00000FF" w:usb1="5000204B" w:usb2="00000000" w:usb3="00000000" w:csb0="00000193" w:csb1="00000000"/>
  </w:font>
  <w:font w:name="Cambria">
    <w:panose1 w:val="02040503050406030204"/>
    <w:charset w:val="00"/>
    <w:family w:val="roman"/>
    <w:pitch w:val="variable"/>
    <w:sig w:usb0="E00006FF" w:usb1="420024FF" w:usb2="02000000" w:usb3="00000000" w:csb0="0000019F" w:csb1="00000000"/>
  </w:font>
  <w:font w:name="Muli ExtraBold">
    <w:altName w:val="Calibri"/>
    <w:panose1 w:val="020B0604020202020204"/>
    <w:charset w:val="00"/>
    <w:family w:val="auto"/>
    <w:pitch w:val="variable"/>
    <w:sig w:usb0="A00000FF" w:usb1="5000204B" w:usb2="00000000" w:usb3="00000000" w:csb0="00000193" w:csb1="00000000"/>
  </w:font>
  <w:font w:name="Muli Medium">
    <w:altName w:val="Calibri"/>
    <w:panose1 w:val="020B0604020202020204"/>
    <w:charset w:val="4D"/>
    <w:family w:val="auto"/>
    <w:pitch w:val="variable"/>
    <w:sig w:usb0="A00000FF" w:usb1="5000204B" w:usb2="00000000" w:usb3="00000000" w:csb0="00000193" w:csb1="00000000"/>
  </w:font>
  <w:font w:name="Muli Black">
    <w:altName w:val="Calibri"/>
    <w:panose1 w:val="020B0604020202020204"/>
    <w:charset w:val="4D"/>
    <w:family w:val="auto"/>
    <w:pitch w:val="variable"/>
    <w:sig w:usb0="A00000FF" w:usb1="5000204B" w:usb2="000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58F1" w14:textId="77777777" w:rsidR="00D8756A" w:rsidRDefault="00000000" w:rsidP="00D44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0102" w14:textId="77777777" w:rsidR="00845E84" w:rsidRDefault="00845E84" w:rsidP="00D44B0F">
      <w:r>
        <w:separator/>
      </w:r>
    </w:p>
  </w:footnote>
  <w:footnote w:type="continuationSeparator" w:id="0">
    <w:p w14:paraId="4F5A278B" w14:textId="77777777" w:rsidR="00845E84" w:rsidRDefault="00845E84" w:rsidP="00D44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DAC"/>
    <w:multiLevelType w:val="multilevel"/>
    <w:tmpl w:val="F07A0F26"/>
    <w:lvl w:ilvl="0">
      <w:numFmt w:val="bullet"/>
      <w:lvlText w:val=""/>
      <w:lvlJc w:val="left"/>
      <w:pPr>
        <w:ind w:left="720" w:hanging="360"/>
      </w:pPr>
      <w:rPr>
        <w:rFonts w:ascii="Symbol" w:eastAsia="Times New Roman" w:hAnsi="Symbol" w:cs="Times New Roman" w:hint="default"/>
        <w:color w:val="58BED2"/>
        <w:w w:val="99"/>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962B6"/>
    <w:multiLevelType w:val="hybridMultilevel"/>
    <w:tmpl w:val="EED2B264"/>
    <w:lvl w:ilvl="0" w:tplc="1AFC94EC">
      <w:numFmt w:val="bullet"/>
      <w:lvlText w:val=""/>
      <w:lvlJc w:val="left"/>
      <w:pPr>
        <w:ind w:left="2160" w:hanging="360"/>
      </w:pPr>
      <w:rPr>
        <w:rFonts w:ascii="Symbol" w:eastAsia="Times New Roman" w:hAnsi="Symbol" w:cs="Times New Roman" w:hint="default"/>
        <w:color w:val="58BED2"/>
        <w:w w:val="99"/>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4F74D1"/>
    <w:multiLevelType w:val="hybridMultilevel"/>
    <w:tmpl w:val="0638D876"/>
    <w:lvl w:ilvl="0" w:tplc="A05450E4">
      <w:start w:val="115"/>
      <w:numFmt w:val="bullet"/>
      <w:pStyle w:val="ArrowLinkList"/>
      <w:lvlText w:val=""/>
      <w:lvlJc w:val="left"/>
      <w:pPr>
        <w:ind w:left="720" w:hanging="360"/>
      </w:pPr>
      <w:rPr>
        <w:rFonts w:ascii="Wingdings" w:eastAsia="MS Mincho" w:hAnsi="Wingdings" w:cs="HelveticaNeueLTPro-Md"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11462F"/>
    <w:multiLevelType w:val="hybridMultilevel"/>
    <w:tmpl w:val="F2A68642"/>
    <w:lvl w:ilvl="0" w:tplc="1AFC94EC">
      <w:numFmt w:val="bullet"/>
      <w:lvlText w:val=""/>
      <w:lvlJc w:val="left"/>
      <w:pPr>
        <w:ind w:left="1080" w:hanging="360"/>
      </w:pPr>
      <w:rPr>
        <w:rFonts w:ascii="Symbol" w:eastAsia="Times New Roman" w:hAnsi="Symbol" w:cs="Times New Roman" w:hint="default"/>
        <w:color w:val="58BED2"/>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1938EC"/>
    <w:multiLevelType w:val="hybridMultilevel"/>
    <w:tmpl w:val="0526D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03D0D"/>
    <w:multiLevelType w:val="hybridMultilevel"/>
    <w:tmpl w:val="EB748022"/>
    <w:lvl w:ilvl="0" w:tplc="0C7C4D52">
      <w:start w:val="1"/>
      <w:numFmt w:val="bullet"/>
      <w:pStyle w:val="BulletList"/>
      <w:lvlText w:val=""/>
      <w:lvlJc w:val="left"/>
      <w:pPr>
        <w:ind w:left="720" w:hanging="360"/>
      </w:pPr>
      <w:rPr>
        <w:rFonts w:ascii="Symbol" w:hAnsi="Symbol" w:cs="Symbol" w:hint="default"/>
        <w:color w:val="2C2C2C" w:themeColor="text1"/>
      </w:rPr>
    </w:lvl>
    <w:lvl w:ilvl="1" w:tplc="FE3E59C4">
      <w:start w:val="1"/>
      <w:numFmt w:val="bullet"/>
      <w:pStyle w:val="BulletLevel2"/>
      <w:lvlText w:val=""/>
      <w:lvlJc w:val="left"/>
      <w:pPr>
        <w:ind w:left="1440" w:hanging="360"/>
      </w:pPr>
      <w:rPr>
        <w:rFonts w:ascii="Symbol" w:hAnsi="Symbol" w:hint="default"/>
        <w:color w:val="0968F4" w:themeColor="accent1"/>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5A0AC8"/>
    <w:multiLevelType w:val="hybridMultilevel"/>
    <w:tmpl w:val="8EA8494E"/>
    <w:lvl w:ilvl="0" w:tplc="C6BCA656">
      <w:numFmt w:val="bullet"/>
      <w:lvlText w:val=""/>
      <w:lvlJc w:val="left"/>
      <w:pPr>
        <w:ind w:left="72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32FDF"/>
    <w:multiLevelType w:val="hybridMultilevel"/>
    <w:tmpl w:val="195E93B2"/>
    <w:lvl w:ilvl="0" w:tplc="7C567006">
      <w:start w:val="1"/>
      <w:numFmt w:val="lowerLetter"/>
      <w:pStyle w:val="Style1"/>
      <w:lvlText w:val="%1)"/>
      <w:lvlJc w:val="left"/>
      <w:pPr>
        <w:ind w:left="720" w:hanging="360"/>
      </w:pPr>
      <w:rPr>
        <w:rFonts w:ascii="Muli" w:hAnsi="Mul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D57F6"/>
    <w:multiLevelType w:val="hybridMultilevel"/>
    <w:tmpl w:val="6284B61A"/>
    <w:lvl w:ilvl="0" w:tplc="C6BCA656">
      <w:numFmt w:val="bullet"/>
      <w:lvlText w:val=""/>
      <w:lvlJc w:val="left"/>
      <w:pPr>
        <w:ind w:left="144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942527"/>
    <w:multiLevelType w:val="multilevel"/>
    <w:tmpl w:val="1A547C2E"/>
    <w:lvl w:ilvl="0">
      <w:numFmt w:val="bullet"/>
      <w:lvlText w:val=""/>
      <w:lvlJc w:val="left"/>
      <w:pPr>
        <w:ind w:left="360" w:hanging="360"/>
      </w:pPr>
      <w:rPr>
        <w:rFonts w:ascii="Wingdings" w:eastAsia="Times New Roman" w:hAnsi="Wingdings" w:cs="Times New Roman" w:hint="default"/>
        <w:b/>
        <w:color w:val="C1792F"/>
        <w:w w:val="99"/>
        <w:sz w:val="24"/>
        <w:szCs w:val="24"/>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Wingdings" w:hAnsi="Wingdings" w:hint="default"/>
        <w:color w:val="C1792F"/>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DDB0DEA"/>
    <w:multiLevelType w:val="hybridMultilevel"/>
    <w:tmpl w:val="33B4D286"/>
    <w:lvl w:ilvl="0" w:tplc="EFCE4A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858D4"/>
    <w:multiLevelType w:val="hybridMultilevel"/>
    <w:tmpl w:val="0DDC2816"/>
    <w:lvl w:ilvl="0" w:tplc="C6BCA656">
      <w:numFmt w:val="bullet"/>
      <w:lvlText w:val=""/>
      <w:lvlJc w:val="left"/>
      <w:pPr>
        <w:ind w:left="72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E273D"/>
    <w:multiLevelType w:val="hybridMultilevel"/>
    <w:tmpl w:val="EE5CF4D0"/>
    <w:lvl w:ilvl="0" w:tplc="57BE8D40">
      <w:start w:val="1"/>
      <w:numFmt w:val="bullet"/>
      <w:lvlText w:val="•"/>
      <w:lvlJc w:val="left"/>
      <w:pPr>
        <w:tabs>
          <w:tab w:val="num" w:pos="720"/>
        </w:tabs>
        <w:ind w:left="720" w:hanging="360"/>
      </w:pPr>
      <w:rPr>
        <w:rFonts w:ascii="Arial" w:hAnsi="Arial" w:hint="default"/>
      </w:rPr>
    </w:lvl>
    <w:lvl w:ilvl="1" w:tplc="569E5F4A" w:tentative="1">
      <w:start w:val="1"/>
      <w:numFmt w:val="bullet"/>
      <w:lvlText w:val="•"/>
      <w:lvlJc w:val="left"/>
      <w:pPr>
        <w:tabs>
          <w:tab w:val="num" w:pos="1440"/>
        </w:tabs>
        <w:ind w:left="1440" w:hanging="360"/>
      </w:pPr>
      <w:rPr>
        <w:rFonts w:ascii="Arial" w:hAnsi="Arial" w:hint="default"/>
      </w:rPr>
    </w:lvl>
    <w:lvl w:ilvl="2" w:tplc="075E21AA" w:tentative="1">
      <w:start w:val="1"/>
      <w:numFmt w:val="bullet"/>
      <w:lvlText w:val="•"/>
      <w:lvlJc w:val="left"/>
      <w:pPr>
        <w:tabs>
          <w:tab w:val="num" w:pos="2160"/>
        </w:tabs>
        <w:ind w:left="2160" w:hanging="360"/>
      </w:pPr>
      <w:rPr>
        <w:rFonts w:ascii="Arial" w:hAnsi="Arial" w:hint="default"/>
      </w:rPr>
    </w:lvl>
    <w:lvl w:ilvl="3" w:tplc="D1EA7AFC" w:tentative="1">
      <w:start w:val="1"/>
      <w:numFmt w:val="bullet"/>
      <w:lvlText w:val="•"/>
      <w:lvlJc w:val="left"/>
      <w:pPr>
        <w:tabs>
          <w:tab w:val="num" w:pos="2880"/>
        </w:tabs>
        <w:ind w:left="2880" w:hanging="360"/>
      </w:pPr>
      <w:rPr>
        <w:rFonts w:ascii="Arial" w:hAnsi="Arial" w:hint="default"/>
      </w:rPr>
    </w:lvl>
    <w:lvl w:ilvl="4" w:tplc="71D4305A" w:tentative="1">
      <w:start w:val="1"/>
      <w:numFmt w:val="bullet"/>
      <w:lvlText w:val="•"/>
      <w:lvlJc w:val="left"/>
      <w:pPr>
        <w:tabs>
          <w:tab w:val="num" w:pos="3600"/>
        </w:tabs>
        <w:ind w:left="3600" w:hanging="360"/>
      </w:pPr>
      <w:rPr>
        <w:rFonts w:ascii="Arial" w:hAnsi="Arial" w:hint="default"/>
      </w:rPr>
    </w:lvl>
    <w:lvl w:ilvl="5" w:tplc="40FEC454" w:tentative="1">
      <w:start w:val="1"/>
      <w:numFmt w:val="bullet"/>
      <w:lvlText w:val="•"/>
      <w:lvlJc w:val="left"/>
      <w:pPr>
        <w:tabs>
          <w:tab w:val="num" w:pos="4320"/>
        </w:tabs>
        <w:ind w:left="4320" w:hanging="360"/>
      </w:pPr>
      <w:rPr>
        <w:rFonts w:ascii="Arial" w:hAnsi="Arial" w:hint="default"/>
      </w:rPr>
    </w:lvl>
    <w:lvl w:ilvl="6" w:tplc="7D105EB4" w:tentative="1">
      <w:start w:val="1"/>
      <w:numFmt w:val="bullet"/>
      <w:lvlText w:val="•"/>
      <w:lvlJc w:val="left"/>
      <w:pPr>
        <w:tabs>
          <w:tab w:val="num" w:pos="5040"/>
        </w:tabs>
        <w:ind w:left="5040" w:hanging="360"/>
      </w:pPr>
      <w:rPr>
        <w:rFonts w:ascii="Arial" w:hAnsi="Arial" w:hint="default"/>
      </w:rPr>
    </w:lvl>
    <w:lvl w:ilvl="7" w:tplc="BC2C9BA4" w:tentative="1">
      <w:start w:val="1"/>
      <w:numFmt w:val="bullet"/>
      <w:lvlText w:val="•"/>
      <w:lvlJc w:val="left"/>
      <w:pPr>
        <w:tabs>
          <w:tab w:val="num" w:pos="5760"/>
        </w:tabs>
        <w:ind w:left="5760" w:hanging="360"/>
      </w:pPr>
      <w:rPr>
        <w:rFonts w:ascii="Arial" w:hAnsi="Arial" w:hint="default"/>
      </w:rPr>
    </w:lvl>
    <w:lvl w:ilvl="8" w:tplc="575A9C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312DE9"/>
    <w:multiLevelType w:val="hybridMultilevel"/>
    <w:tmpl w:val="521EDE4C"/>
    <w:lvl w:ilvl="0" w:tplc="1AFC94EC">
      <w:numFmt w:val="bullet"/>
      <w:lvlText w:val=""/>
      <w:lvlJc w:val="left"/>
      <w:pPr>
        <w:ind w:left="-360" w:hanging="360"/>
      </w:pPr>
      <w:rPr>
        <w:rFonts w:ascii="Symbol" w:eastAsia="Times New Roman" w:hAnsi="Symbol" w:cs="Times New Roman" w:hint="default"/>
        <w:color w:val="58BED2"/>
        <w:w w:val="99"/>
        <w:sz w:val="24"/>
        <w:szCs w:val="24"/>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1AFC94EC">
      <w:numFmt w:val="bullet"/>
      <w:lvlText w:val=""/>
      <w:lvlJc w:val="left"/>
      <w:pPr>
        <w:ind w:left="1800" w:hanging="360"/>
      </w:pPr>
      <w:rPr>
        <w:rFonts w:ascii="Symbol" w:eastAsia="Times New Roman" w:hAnsi="Symbol" w:cs="Times New Roman" w:hint="default"/>
        <w:color w:val="58BED2"/>
        <w:w w:val="99"/>
        <w:sz w:val="24"/>
        <w:szCs w:val="24"/>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80513E7"/>
    <w:multiLevelType w:val="multilevel"/>
    <w:tmpl w:val="32E86CCC"/>
    <w:lvl w:ilvl="0">
      <w:start w:val="1"/>
      <w:numFmt w:val="bullet"/>
      <w:lvlText w:val=""/>
      <w:lvlJc w:val="left"/>
      <w:pPr>
        <w:ind w:left="720" w:hanging="360"/>
      </w:pPr>
      <w:rPr>
        <w:rFonts w:ascii="Wingdings" w:hAnsi="Wingdings" w:hint="default"/>
        <w:color w:val="C1792F"/>
        <w:sz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A3B638B"/>
    <w:multiLevelType w:val="multilevel"/>
    <w:tmpl w:val="16AC2062"/>
    <w:lvl w:ilvl="0">
      <w:numFmt w:val="bullet"/>
      <w:lvlText w:val=""/>
      <w:lvlJc w:val="left"/>
      <w:pPr>
        <w:ind w:left="1080" w:hanging="360"/>
      </w:pPr>
      <w:rPr>
        <w:rFonts w:ascii="Symbol" w:eastAsia="Times New Roman" w:hAnsi="Symbol" w:cs="Times New Roman" w:hint="default"/>
        <w:color w:val="58BED2"/>
        <w:w w:val="99"/>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C6F4E19"/>
    <w:multiLevelType w:val="hybridMultilevel"/>
    <w:tmpl w:val="98DE0406"/>
    <w:lvl w:ilvl="0" w:tplc="1AFC94EC">
      <w:numFmt w:val="bullet"/>
      <w:lvlText w:val=""/>
      <w:lvlJc w:val="left"/>
      <w:pPr>
        <w:ind w:left="1440" w:hanging="360"/>
      </w:pPr>
      <w:rPr>
        <w:rFonts w:ascii="Symbol" w:eastAsia="Times New Roman" w:hAnsi="Symbol" w:cs="Times New Roman" w:hint="default"/>
        <w:color w:val="58BED2"/>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7B6474"/>
    <w:multiLevelType w:val="hybridMultilevel"/>
    <w:tmpl w:val="92A8CDB0"/>
    <w:lvl w:ilvl="0" w:tplc="1AFC94EC">
      <w:numFmt w:val="bullet"/>
      <w:lvlText w:val=""/>
      <w:lvlJc w:val="left"/>
      <w:pPr>
        <w:ind w:left="720" w:hanging="360"/>
      </w:pPr>
      <w:rPr>
        <w:rFonts w:ascii="Symbol" w:eastAsia="Times New Roman" w:hAnsi="Symbol" w:cs="Times New Roman" w:hint="default"/>
        <w:color w:val="58BED2"/>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C37E2"/>
    <w:multiLevelType w:val="multilevel"/>
    <w:tmpl w:val="CA22F8EE"/>
    <w:lvl w:ilvl="0">
      <w:numFmt w:val="bullet"/>
      <w:lvlText w:val=""/>
      <w:lvlJc w:val="left"/>
      <w:pPr>
        <w:ind w:left="720" w:hanging="360"/>
      </w:pPr>
      <w:rPr>
        <w:rFonts w:ascii="Wingdings" w:eastAsia="Times New Roman" w:hAnsi="Wingdings" w:cs="Times New Roman" w:hint="default"/>
        <w:color w:val="C1792F"/>
        <w:w w:val="99"/>
        <w:sz w:val="24"/>
        <w:szCs w:val="24"/>
      </w:rPr>
    </w:lvl>
    <w:lvl w:ilvl="1">
      <w:start w:val="1"/>
      <w:numFmt w:val="bullet"/>
      <w:lvlText w:val=""/>
      <w:lvlJc w:val="left"/>
      <w:pPr>
        <w:ind w:left="1440" w:hanging="360"/>
      </w:pPr>
      <w:rPr>
        <w:rFonts w:ascii="Symbol" w:hAnsi="Symbol" w:hint="default"/>
        <w:color w:val="5CBDD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C100FD"/>
    <w:multiLevelType w:val="hybridMultilevel"/>
    <w:tmpl w:val="D5CA3398"/>
    <w:lvl w:ilvl="0" w:tplc="C6BCA656">
      <w:numFmt w:val="bullet"/>
      <w:lvlText w:val=""/>
      <w:lvlJc w:val="left"/>
      <w:pPr>
        <w:ind w:left="720" w:hanging="360"/>
      </w:pPr>
      <w:rPr>
        <w:rFonts w:ascii="Wingdings" w:eastAsia="Times New Roman" w:hAnsi="Wingdings" w:cs="Times New Roman" w:hint="default"/>
        <w:b w:val="0"/>
        <w:color w:val="C1792F"/>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342DA"/>
    <w:multiLevelType w:val="hybridMultilevel"/>
    <w:tmpl w:val="9AC85626"/>
    <w:lvl w:ilvl="0" w:tplc="1AFC94EC">
      <w:numFmt w:val="bullet"/>
      <w:lvlText w:val=""/>
      <w:lvlJc w:val="left"/>
      <w:pPr>
        <w:ind w:left="720" w:hanging="360"/>
      </w:pPr>
      <w:rPr>
        <w:rFonts w:ascii="Symbol" w:eastAsia="Times New Roman" w:hAnsi="Symbol" w:cs="Times New Roman" w:hint="default"/>
        <w:color w:val="58BED2"/>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15144"/>
    <w:multiLevelType w:val="hybridMultilevel"/>
    <w:tmpl w:val="F53E067C"/>
    <w:lvl w:ilvl="0" w:tplc="C6BCA656">
      <w:numFmt w:val="bullet"/>
      <w:lvlText w:val=""/>
      <w:lvlJc w:val="left"/>
      <w:pPr>
        <w:ind w:left="72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10A04"/>
    <w:multiLevelType w:val="hybridMultilevel"/>
    <w:tmpl w:val="F85479CE"/>
    <w:lvl w:ilvl="0" w:tplc="C6BCA656">
      <w:numFmt w:val="bullet"/>
      <w:lvlText w:val=""/>
      <w:lvlJc w:val="left"/>
      <w:pPr>
        <w:ind w:left="72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560F0"/>
    <w:multiLevelType w:val="hybridMultilevel"/>
    <w:tmpl w:val="09B23E6E"/>
    <w:lvl w:ilvl="0" w:tplc="C6BCA656">
      <w:numFmt w:val="bullet"/>
      <w:lvlText w:val=""/>
      <w:lvlJc w:val="left"/>
      <w:pPr>
        <w:ind w:left="72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60F70"/>
    <w:multiLevelType w:val="hybridMultilevel"/>
    <w:tmpl w:val="EF5430DE"/>
    <w:lvl w:ilvl="0" w:tplc="1AFC94EC">
      <w:numFmt w:val="bullet"/>
      <w:lvlText w:val=""/>
      <w:lvlJc w:val="left"/>
      <w:pPr>
        <w:ind w:left="1080" w:hanging="360"/>
      </w:pPr>
      <w:rPr>
        <w:rFonts w:ascii="Symbol" w:eastAsia="Times New Roman" w:hAnsi="Symbol" w:cs="Times New Roman" w:hint="default"/>
        <w:color w:val="58BED2"/>
        <w:w w:val="99"/>
        <w:sz w:val="24"/>
        <w:szCs w:val="24"/>
      </w:rPr>
    </w:lvl>
    <w:lvl w:ilvl="1" w:tplc="1AFC94EC">
      <w:numFmt w:val="bullet"/>
      <w:lvlText w:val=""/>
      <w:lvlJc w:val="left"/>
      <w:pPr>
        <w:ind w:left="1800" w:hanging="360"/>
      </w:pPr>
      <w:rPr>
        <w:rFonts w:ascii="Symbol" w:eastAsia="Times New Roman" w:hAnsi="Symbol" w:cs="Times New Roman" w:hint="default"/>
        <w:color w:val="58BED2"/>
        <w:w w:val="99"/>
        <w:sz w:val="24"/>
        <w:szCs w:val="24"/>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22043E"/>
    <w:multiLevelType w:val="hybridMultilevel"/>
    <w:tmpl w:val="DE6A0428"/>
    <w:lvl w:ilvl="0" w:tplc="1AFC94EC">
      <w:numFmt w:val="bullet"/>
      <w:lvlText w:val=""/>
      <w:lvlJc w:val="left"/>
      <w:pPr>
        <w:ind w:left="1080" w:hanging="360"/>
      </w:pPr>
      <w:rPr>
        <w:rFonts w:ascii="Symbol" w:eastAsia="Times New Roman" w:hAnsi="Symbol" w:cs="Times New Roman" w:hint="default"/>
        <w:color w:val="58BED2"/>
        <w:w w:val="99"/>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6545B4"/>
    <w:multiLevelType w:val="hybridMultilevel"/>
    <w:tmpl w:val="82AEF0AA"/>
    <w:lvl w:ilvl="0" w:tplc="C6BCA656">
      <w:numFmt w:val="bullet"/>
      <w:lvlText w:val=""/>
      <w:lvlJc w:val="left"/>
      <w:pPr>
        <w:ind w:left="72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51785"/>
    <w:multiLevelType w:val="hybridMultilevel"/>
    <w:tmpl w:val="1B4C83FE"/>
    <w:lvl w:ilvl="0" w:tplc="C6BCA656">
      <w:numFmt w:val="bullet"/>
      <w:lvlText w:val=""/>
      <w:lvlJc w:val="left"/>
      <w:pPr>
        <w:ind w:left="72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521AD"/>
    <w:multiLevelType w:val="hybridMultilevel"/>
    <w:tmpl w:val="451A4C64"/>
    <w:lvl w:ilvl="0" w:tplc="1AFC94EC">
      <w:numFmt w:val="bullet"/>
      <w:lvlText w:val=""/>
      <w:lvlJc w:val="left"/>
      <w:pPr>
        <w:ind w:left="720" w:hanging="360"/>
      </w:pPr>
      <w:rPr>
        <w:rFonts w:ascii="Symbol" w:eastAsia="Times New Roman" w:hAnsi="Symbol" w:cs="Times New Roman" w:hint="default"/>
        <w:color w:val="58BED2"/>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56939"/>
    <w:multiLevelType w:val="multilevel"/>
    <w:tmpl w:val="9D9C0E30"/>
    <w:lvl w:ilvl="0">
      <w:numFmt w:val="bullet"/>
      <w:lvlText w:val=""/>
      <w:lvlJc w:val="left"/>
      <w:pPr>
        <w:ind w:left="720" w:hanging="360"/>
      </w:pPr>
      <w:rPr>
        <w:rFonts w:ascii="Symbol" w:eastAsia="Times New Roman" w:hAnsi="Symbol" w:cs="Times New Roman" w:hint="default"/>
        <w:color w:val="58BED2"/>
        <w:w w:val="99"/>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F6162B"/>
    <w:multiLevelType w:val="hybridMultilevel"/>
    <w:tmpl w:val="47B45AB6"/>
    <w:lvl w:ilvl="0" w:tplc="C6BCA656">
      <w:numFmt w:val="bullet"/>
      <w:lvlText w:val=""/>
      <w:lvlJc w:val="left"/>
      <w:pPr>
        <w:ind w:left="360" w:hanging="360"/>
      </w:pPr>
      <w:rPr>
        <w:rFonts w:ascii="Wingdings" w:eastAsia="Times New Roman" w:hAnsi="Wingdings" w:cs="Times New Roman" w:hint="default"/>
        <w:color w:val="C1792F"/>
        <w:w w:val="99"/>
        <w:sz w:val="24"/>
        <w:szCs w:val="24"/>
      </w:rPr>
    </w:lvl>
    <w:lvl w:ilvl="1" w:tplc="1AFC94EC">
      <w:numFmt w:val="bullet"/>
      <w:lvlText w:val=""/>
      <w:lvlJc w:val="left"/>
      <w:pPr>
        <w:ind w:left="720" w:hanging="360"/>
      </w:pPr>
      <w:rPr>
        <w:rFonts w:ascii="Symbol" w:eastAsia="Times New Roman" w:hAnsi="Symbol" w:cs="Times New Roman" w:hint="default"/>
        <w:color w:val="58BED2"/>
        <w:w w:val="99"/>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DD160B"/>
    <w:multiLevelType w:val="multilevel"/>
    <w:tmpl w:val="9710D94C"/>
    <w:lvl w:ilvl="0">
      <w:numFmt w:val="bullet"/>
      <w:lvlText w:val=""/>
      <w:lvlJc w:val="left"/>
      <w:pPr>
        <w:ind w:left="720" w:hanging="360"/>
      </w:pPr>
      <w:rPr>
        <w:rFonts w:ascii="Symbol" w:eastAsia="Times New Roman" w:hAnsi="Symbol" w:cs="Times New Roman" w:hint="default"/>
        <w:color w:val="58BED2"/>
        <w:w w:val="99"/>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E76FE2"/>
    <w:multiLevelType w:val="hybridMultilevel"/>
    <w:tmpl w:val="16F4D0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9F94764"/>
    <w:multiLevelType w:val="hybridMultilevel"/>
    <w:tmpl w:val="3840621A"/>
    <w:lvl w:ilvl="0" w:tplc="C6BCA656">
      <w:numFmt w:val="bullet"/>
      <w:lvlText w:val=""/>
      <w:lvlJc w:val="left"/>
      <w:pPr>
        <w:ind w:left="72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C012A"/>
    <w:multiLevelType w:val="multilevel"/>
    <w:tmpl w:val="8DA2EEDC"/>
    <w:lvl w:ilvl="0">
      <w:start w:val="1"/>
      <w:numFmt w:val="lowerLetter"/>
      <w:lvlText w:val="%1)"/>
      <w:lvlJc w:val="left"/>
      <w:pPr>
        <w:ind w:left="360" w:hanging="360"/>
      </w:pPr>
      <w:rPr>
        <w:rFonts w:hint="default"/>
        <w:b/>
        <w:color w:val="CE7C32"/>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Wingdings" w:hAnsi="Wingdings" w:hint="default"/>
        <w:color w:val="C1792F"/>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B8B101B"/>
    <w:multiLevelType w:val="hybridMultilevel"/>
    <w:tmpl w:val="049ACED6"/>
    <w:lvl w:ilvl="0" w:tplc="C6BCA656">
      <w:numFmt w:val="bullet"/>
      <w:lvlText w:val=""/>
      <w:lvlJc w:val="left"/>
      <w:pPr>
        <w:ind w:left="72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7320C"/>
    <w:multiLevelType w:val="hybridMultilevel"/>
    <w:tmpl w:val="C46E5FFA"/>
    <w:lvl w:ilvl="0" w:tplc="C6BCA656">
      <w:numFmt w:val="bullet"/>
      <w:lvlText w:val=""/>
      <w:lvlJc w:val="left"/>
      <w:pPr>
        <w:ind w:left="360" w:hanging="360"/>
      </w:pPr>
      <w:rPr>
        <w:rFonts w:ascii="Wingdings" w:eastAsia="Times New Roman" w:hAnsi="Wingdings" w:cs="Times New Roman" w:hint="default"/>
        <w:color w:val="C1792F"/>
        <w:w w:val="9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8182763">
    <w:abstractNumId w:val="34"/>
  </w:num>
  <w:num w:numId="2" w16cid:durableId="1575243426">
    <w:abstractNumId w:val="18"/>
  </w:num>
  <w:num w:numId="3" w16cid:durableId="1708991898">
    <w:abstractNumId w:val="9"/>
  </w:num>
  <w:num w:numId="4" w16cid:durableId="1107234938">
    <w:abstractNumId w:val="19"/>
  </w:num>
  <w:num w:numId="5" w16cid:durableId="337773221">
    <w:abstractNumId w:val="6"/>
  </w:num>
  <w:num w:numId="6" w16cid:durableId="1507984795">
    <w:abstractNumId w:val="13"/>
  </w:num>
  <w:num w:numId="7" w16cid:durableId="2042586311">
    <w:abstractNumId w:val="24"/>
  </w:num>
  <w:num w:numId="8" w16cid:durableId="236939993">
    <w:abstractNumId w:val="29"/>
  </w:num>
  <w:num w:numId="9" w16cid:durableId="2117364564">
    <w:abstractNumId w:val="0"/>
  </w:num>
  <w:num w:numId="10" w16cid:durableId="1814055479">
    <w:abstractNumId w:val="31"/>
  </w:num>
  <w:num w:numId="11" w16cid:durableId="1486048957">
    <w:abstractNumId w:val="14"/>
  </w:num>
  <w:num w:numId="12" w16cid:durableId="584534679">
    <w:abstractNumId w:val="3"/>
  </w:num>
  <w:num w:numId="13" w16cid:durableId="1851404094">
    <w:abstractNumId w:val="15"/>
  </w:num>
  <w:num w:numId="14" w16cid:durableId="1027951548">
    <w:abstractNumId w:val="25"/>
  </w:num>
  <w:num w:numId="15" w16cid:durableId="1557888569">
    <w:abstractNumId w:val="26"/>
  </w:num>
  <w:num w:numId="16" w16cid:durableId="1044250780">
    <w:abstractNumId w:val="11"/>
  </w:num>
  <w:num w:numId="17" w16cid:durableId="1254895866">
    <w:abstractNumId w:val="21"/>
  </w:num>
  <w:num w:numId="18" w16cid:durableId="34088164">
    <w:abstractNumId w:val="33"/>
  </w:num>
  <w:num w:numId="19" w16cid:durableId="1324118194">
    <w:abstractNumId w:val="16"/>
  </w:num>
  <w:num w:numId="20" w16cid:durableId="901404680">
    <w:abstractNumId w:val="22"/>
  </w:num>
  <w:num w:numId="21" w16cid:durableId="1161114974">
    <w:abstractNumId w:val="23"/>
  </w:num>
  <w:num w:numId="22" w16cid:durableId="520097062">
    <w:abstractNumId w:val="35"/>
  </w:num>
  <w:num w:numId="23" w16cid:durableId="1228565409">
    <w:abstractNumId w:val="27"/>
  </w:num>
  <w:num w:numId="24" w16cid:durableId="189884003">
    <w:abstractNumId w:val="1"/>
  </w:num>
  <w:num w:numId="25" w16cid:durableId="1005786238">
    <w:abstractNumId w:val="8"/>
  </w:num>
  <w:num w:numId="26" w16cid:durableId="774905996">
    <w:abstractNumId w:val="28"/>
  </w:num>
  <w:num w:numId="27" w16cid:durableId="563419287">
    <w:abstractNumId w:val="30"/>
  </w:num>
  <w:num w:numId="28" w16cid:durableId="1863325405">
    <w:abstractNumId w:val="36"/>
  </w:num>
  <w:num w:numId="29" w16cid:durableId="808937886">
    <w:abstractNumId w:val="17"/>
  </w:num>
  <w:num w:numId="30" w16cid:durableId="849871907">
    <w:abstractNumId w:val="20"/>
  </w:num>
  <w:num w:numId="31" w16cid:durableId="2132170237">
    <w:abstractNumId w:val="12"/>
  </w:num>
  <w:num w:numId="32" w16cid:durableId="309284733">
    <w:abstractNumId w:val="7"/>
  </w:num>
  <w:num w:numId="33" w16cid:durableId="1206336201">
    <w:abstractNumId w:val="5"/>
  </w:num>
  <w:num w:numId="34" w16cid:durableId="586577729">
    <w:abstractNumId w:val="2"/>
  </w:num>
  <w:num w:numId="35" w16cid:durableId="989284863">
    <w:abstractNumId w:val="10"/>
  </w:num>
  <w:num w:numId="36" w16cid:durableId="802427501">
    <w:abstractNumId w:val="4"/>
  </w:num>
  <w:num w:numId="37" w16cid:durableId="9032176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4A"/>
    <w:rsid w:val="0006671C"/>
    <w:rsid w:val="0008288F"/>
    <w:rsid w:val="000842A0"/>
    <w:rsid w:val="000A1CB3"/>
    <w:rsid w:val="000A650B"/>
    <w:rsid w:val="000B62F8"/>
    <w:rsid w:val="000E0056"/>
    <w:rsid w:val="000E584A"/>
    <w:rsid w:val="001772EA"/>
    <w:rsid w:val="00185E63"/>
    <w:rsid w:val="001B675A"/>
    <w:rsid w:val="001D4993"/>
    <w:rsid w:val="0021540F"/>
    <w:rsid w:val="002205B7"/>
    <w:rsid w:val="00220853"/>
    <w:rsid w:val="0026025A"/>
    <w:rsid w:val="00294A6D"/>
    <w:rsid w:val="002C6844"/>
    <w:rsid w:val="002F4AFF"/>
    <w:rsid w:val="00312E23"/>
    <w:rsid w:val="00326127"/>
    <w:rsid w:val="00346921"/>
    <w:rsid w:val="00361E7F"/>
    <w:rsid w:val="003811D0"/>
    <w:rsid w:val="00392BD3"/>
    <w:rsid w:val="003C2ECC"/>
    <w:rsid w:val="003F053F"/>
    <w:rsid w:val="003F2E78"/>
    <w:rsid w:val="00414EA0"/>
    <w:rsid w:val="0044131B"/>
    <w:rsid w:val="004955DD"/>
    <w:rsid w:val="004C3025"/>
    <w:rsid w:val="0051307D"/>
    <w:rsid w:val="00530DBC"/>
    <w:rsid w:val="005522D6"/>
    <w:rsid w:val="00584A29"/>
    <w:rsid w:val="005A1E28"/>
    <w:rsid w:val="005A6620"/>
    <w:rsid w:val="005C2001"/>
    <w:rsid w:val="005E0D6B"/>
    <w:rsid w:val="00622829"/>
    <w:rsid w:val="006319B1"/>
    <w:rsid w:val="00672661"/>
    <w:rsid w:val="0069790E"/>
    <w:rsid w:val="006B08C2"/>
    <w:rsid w:val="006B44FE"/>
    <w:rsid w:val="006F32D2"/>
    <w:rsid w:val="00714F13"/>
    <w:rsid w:val="007617B4"/>
    <w:rsid w:val="007818EA"/>
    <w:rsid w:val="007900B5"/>
    <w:rsid w:val="007A08E0"/>
    <w:rsid w:val="007A2396"/>
    <w:rsid w:val="007B0050"/>
    <w:rsid w:val="00835ABB"/>
    <w:rsid w:val="008369D0"/>
    <w:rsid w:val="00845E84"/>
    <w:rsid w:val="008530F6"/>
    <w:rsid w:val="00861012"/>
    <w:rsid w:val="00861C62"/>
    <w:rsid w:val="00893129"/>
    <w:rsid w:val="008A286A"/>
    <w:rsid w:val="008C17FF"/>
    <w:rsid w:val="008C67F6"/>
    <w:rsid w:val="00906AB4"/>
    <w:rsid w:val="009C0324"/>
    <w:rsid w:val="009D1747"/>
    <w:rsid w:val="009D4F56"/>
    <w:rsid w:val="00A13609"/>
    <w:rsid w:val="00A9093C"/>
    <w:rsid w:val="00AB3E0A"/>
    <w:rsid w:val="00B0193D"/>
    <w:rsid w:val="00B158E2"/>
    <w:rsid w:val="00B15B2C"/>
    <w:rsid w:val="00B16279"/>
    <w:rsid w:val="00B252C9"/>
    <w:rsid w:val="00B45946"/>
    <w:rsid w:val="00B559CC"/>
    <w:rsid w:val="00B81CBA"/>
    <w:rsid w:val="00BD64A3"/>
    <w:rsid w:val="00BF3156"/>
    <w:rsid w:val="00C00BF3"/>
    <w:rsid w:val="00C51479"/>
    <w:rsid w:val="00C63F59"/>
    <w:rsid w:val="00C96BD9"/>
    <w:rsid w:val="00CB19BD"/>
    <w:rsid w:val="00D1597B"/>
    <w:rsid w:val="00D42408"/>
    <w:rsid w:val="00D44B0F"/>
    <w:rsid w:val="00D61DE4"/>
    <w:rsid w:val="00D62AB7"/>
    <w:rsid w:val="00D63AB4"/>
    <w:rsid w:val="00DA0CDB"/>
    <w:rsid w:val="00DB135E"/>
    <w:rsid w:val="00DF0A8E"/>
    <w:rsid w:val="00E01646"/>
    <w:rsid w:val="00E11B7C"/>
    <w:rsid w:val="00E1493F"/>
    <w:rsid w:val="00E51F18"/>
    <w:rsid w:val="00E85667"/>
    <w:rsid w:val="00EA4287"/>
    <w:rsid w:val="00ED353F"/>
    <w:rsid w:val="00F261D5"/>
    <w:rsid w:val="00F33325"/>
    <w:rsid w:val="00F36383"/>
    <w:rsid w:val="00F9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5D8C"/>
  <w14:defaultImageDpi w14:val="32767"/>
  <w15:chartTrackingRefBased/>
  <w15:docId w15:val="{CE77753E-5FCE-3A4D-87B3-C42D51F1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4B0F"/>
    <w:pPr>
      <w:widowControl w:val="0"/>
      <w:tabs>
        <w:tab w:val="left" w:pos="4060"/>
      </w:tabs>
      <w:autoSpaceDE w:val="0"/>
      <w:autoSpaceDN w:val="0"/>
      <w:adjustRightInd w:val="0"/>
      <w:spacing w:after="240" w:line="264" w:lineRule="auto"/>
      <w:textAlignment w:val="center"/>
    </w:pPr>
    <w:rPr>
      <w:rFonts w:ascii="Muli Light" w:hAnsi="Muli Light" w:cs="HelveticaNeueLTPro-Md"/>
      <w:color w:val="2C2C2C" w:themeColor="text1"/>
      <w:sz w:val="20"/>
      <w:szCs w:val="14"/>
    </w:rPr>
  </w:style>
  <w:style w:type="paragraph" w:styleId="Heading1">
    <w:name w:val="heading 1"/>
    <w:next w:val="Normal"/>
    <w:link w:val="Heading1Char"/>
    <w:uiPriority w:val="9"/>
    <w:qFormat/>
    <w:rsid w:val="00361E7F"/>
    <w:pPr>
      <w:keepNext/>
      <w:keepLines/>
      <w:spacing w:before="240" w:after="120"/>
      <w:ind w:left="-360"/>
      <w:outlineLvl w:val="0"/>
    </w:pPr>
    <w:rPr>
      <w:rFonts w:ascii="Muli" w:eastAsiaTheme="majorEastAsia" w:hAnsi="Muli" w:cstheme="majorBidi"/>
      <w:b/>
      <w:bCs/>
      <w:color w:val="092851" w:themeColor="text2"/>
      <w:sz w:val="32"/>
      <w:szCs w:val="32"/>
    </w:rPr>
  </w:style>
  <w:style w:type="paragraph" w:styleId="Heading2">
    <w:name w:val="heading 2"/>
    <w:next w:val="Normal"/>
    <w:link w:val="Heading2Char"/>
    <w:uiPriority w:val="9"/>
    <w:unhideWhenUsed/>
    <w:qFormat/>
    <w:rsid w:val="00361E7F"/>
    <w:pPr>
      <w:keepNext/>
      <w:keepLines/>
      <w:spacing w:before="240" w:after="120"/>
      <w:outlineLvl w:val="1"/>
    </w:pPr>
    <w:rPr>
      <w:rFonts w:ascii="Muli" w:eastAsiaTheme="majorEastAsia" w:hAnsi="Muli" w:cstheme="majorBidi"/>
      <w:b/>
      <w:bCs/>
      <w:color w:val="0968F4" w:themeColor="accent1"/>
      <w:sz w:val="28"/>
      <w:szCs w:val="28"/>
    </w:rPr>
  </w:style>
  <w:style w:type="paragraph" w:styleId="Heading3">
    <w:name w:val="heading 3"/>
    <w:next w:val="Normal"/>
    <w:link w:val="Heading3Char"/>
    <w:uiPriority w:val="9"/>
    <w:unhideWhenUsed/>
    <w:qFormat/>
    <w:rsid w:val="00361E7F"/>
    <w:pPr>
      <w:keepNext/>
      <w:keepLines/>
      <w:spacing w:before="240" w:after="120"/>
      <w:outlineLvl w:val="2"/>
    </w:pPr>
    <w:rPr>
      <w:rFonts w:ascii="Muli" w:eastAsiaTheme="majorEastAsia" w:hAnsi="Muli" w:cstheme="majorBidi"/>
      <w:b/>
      <w:bCs/>
      <w:color w:val="2C2C2C"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18EA"/>
    <w:pPr>
      <w:tabs>
        <w:tab w:val="center" w:pos="4680"/>
        <w:tab w:val="right" w:pos="9360"/>
      </w:tabs>
    </w:pPr>
  </w:style>
  <w:style w:type="character" w:customStyle="1" w:styleId="FooterChar">
    <w:name w:val="Footer Char"/>
    <w:basedOn w:val="DefaultParagraphFont"/>
    <w:link w:val="Footer"/>
    <w:uiPriority w:val="99"/>
    <w:rsid w:val="007818EA"/>
    <w:rPr>
      <w:rFonts w:ascii="Cambria" w:eastAsia="MS Mincho" w:hAnsi="Cambria" w:cs="Times New Roman"/>
    </w:rPr>
  </w:style>
  <w:style w:type="paragraph" w:customStyle="1" w:styleId="Barhead">
    <w:name w:val="Bar head"/>
    <w:basedOn w:val="Normal"/>
    <w:qFormat/>
    <w:rsid w:val="00EA4287"/>
    <w:pPr>
      <w:spacing w:before="40" w:line="288" w:lineRule="auto"/>
      <w:ind w:left="630"/>
    </w:pPr>
    <w:rPr>
      <w:rFonts w:ascii="Muli" w:hAnsi="Muli"/>
      <w:b/>
      <w:bCs/>
      <w:color w:val="FFFFFF"/>
      <w:spacing w:val="40"/>
    </w:rPr>
  </w:style>
  <w:style w:type="paragraph" w:styleId="ListParagraph">
    <w:name w:val="List Paragraph"/>
    <w:basedOn w:val="Normal"/>
    <w:uiPriority w:val="34"/>
    <w:qFormat/>
    <w:rsid w:val="007818EA"/>
    <w:pPr>
      <w:ind w:left="720"/>
      <w:contextualSpacing/>
    </w:pPr>
  </w:style>
  <w:style w:type="character" w:styleId="Hyperlink">
    <w:name w:val="Hyperlink"/>
    <w:basedOn w:val="DefaultParagraphFont"/>
    <w:uiPriority w:val="99"/>
    <w:unhideWhenUsed/>
    <w:rsid w:val="0044131B"/>
    <w:rPr>
      <w:rFonts w:ascii="Muli" w:hAnsi="Muli"/>
      <w:color w:val="0968F4" w:themeColor="accent1"/>
      <w:u w:val="single"/>
    </w:rPr>
  </w:style>
  <w:style w:type="character" w:styleId="FollowedHyperlink">
    <w:name w:val="FollowedHyperlink"/>
    <w:basedOn w:val="DefaultParagraphFont"/>
    <w:uiPriority w:val="99"/>
    <w:semiHidden/>
    <w:unhideWhenUsed/>
    <w:rsid w:val="000E584A"/>
    <w:rPr>
      <w:color w:val="954F72" w:themeColor="followedHyperlink"/>
      <w:u w:val="single"/>
    </w:rPr>
  </w:style>
  <w:style w:type="paragraph" w:customStyle="1" w:styleId="SIFTitle">
    <w:name w:val="SIF Title"/>
    <w:qFormat/>
    <w:rsid w:val="00F36383"/>
    <w:pPr>
      <w:jc w:val="center"/>
    </w:pPr>
    <w:rPr>
      <w:rFonts w:ascii="Muli ExtraBold" w:hAnsi="Muli ExtraBold" w:cs="Times New Roman"/>
      <w:b/>
      <w:bCs/>
      <w:color w:val="DADEE8" w:themeColor="accent2"/>
      <w:spacing w:val="40"/>
      <w:sz w:val="22"/>
      <w:szCs w:val="22"/>
    </w:rPr>
  </w:style>
  <w:style w:type="paragraph" w:customStyle="1" w:styleId="SIFStandard">
    <w:name w:val="SIF Standard"/>
    <w:qFormat/>
    <w:rsid w:val="00E51F18"/>
    <w:rPr>
      <w:rFonts w:ascii="Muli Medium" w:hAnsi="Muli Medium" w:cs="Times New Roman"/>
      <w:b/>
      <w:bCs/>
      <w:color w:val="FFFFFF"/>
      <w:sz w:val="32"/>
      <w:szCs w:val="32"/>
    </w:rPr>
  </w:style>
  <w:style w:type="paragraph" w:customStyle="1" w:styleId="SIFStandardNumber">
    <w:name w:val="SIF Standard Number"/>
    <w:link w:val="SIFStandardNumberChar"/>
    <w:qFormat/>
    <w:rsid w:val="00E51F18"/>
    <w:pPr>
      <w:jc w:val="center"/>
    </w:pPr>
    <w:rPr>
      <w:rFonts w:ascii="Muli Black" w:hAnsi="Muli Black" w:cs="Times New Roman"/>
      <w:b/>
      <w:bCs/>
      <w:color w:val="FFFFFF"/>
      <w:sz w:val="36"/>
      <w:szCs w:val="36"/>
    </w:rPr>
  </w:style>
  <w:style w:type="character" w:customStyle="1" w:styleId="SIFStandardNumberChar">
    <w:name w:val="SIF Standard Number Char"/>
    <w:basedOn w:val="DefaultParagraphFont"/>
    <w:link w:val="SIFStandardNumber"/>
    <w:rsid w:val="00E51F18"/>
    <w:rPr>
      <w:rFonts w:ascii="Muli Black" w:eastAsia="MS Mincho" w:hAnsi="Muli Black" w:cs="Times New Roman"/>
      <w:b/>
      <w:bCs/>
      <w:color w:val="FFFFFF"/>
      <w:sz w:val="36"/>
      <w:szCs w:val="36"/>
    </w:rPr>
  </w:style>
  <w:style w:type="paragraph" w:customStyle="1" w:styleId="SIFSubheading">
    <w:name w:val="SIF Subheading"/>
    <w:basedOn w:val="Normal"/>
    <w:qFormat/>
    <w:rsid w:val="00B158E2"/>
    <w:pPr>
      <w:pBdr>
        <w:top w:val="single" w:sz="36" w:space="4" w:color="0968F4" w:themeColor="accent1"/>
        <w:left w:val="single" w:sz="36" w:space="4" w:color="0968F4" w:themeColor="accent1"/>
        <w:bottom w:val="single" w:sz="36" w:space="4" w:color="0968F4" w:themeColor="accent1"/>
        <w:right w:val="single" w:sz="36" w:space="4" w:color="0968F4" w:themeColor="accent1"/>
      </w:pBdr>
      <w:shd w:val="clear" w:color="auto" w:fill="0968F4" w:themeFill="accent1"/>
      <w:spacing w:before="480"/>
      <w:ind w:left="-1260" w:right="-1260" w:firstLine="1260"/>
    </w:pPr>
    <w:rPr>
      <w:rFonts w:ascii="Muli" w:hAnsi="Muli"/>
      <w:b/>
      <w:bCs/>
      <w:color w:val="FFFFFF" w:themeColor="background1"/>
      <w:sz w:val="24"/>
      <w:szCs w:val="20"/>
    </w:rPr>
  </w:style>
  <w:style w:type="paragraph" w:customStyle="1" w:styleId="Subheading">
    <w:name w:val="Subheading"/>
    <w:basedOn w:val="Normal"/>
    <w:qFormat/>
    <w:rsid w:val="00E11B7C"/>
    <w:pPr>
      <w:spacing w:before="360" w:after="120"/>
    </w:pPr>
    <w:rPr>
      <w:rFonts w:ascii="Muli" w:hAnsi="Muli"/>
      <w:b/>
      <w:bCs/>
      <w:color w:val="092851" w:themeColor="text2"/>
      <w:sz w:val="24"/>
      <w:szCs w:val="20"/>
    </w:rPr>
  </w:style>
  <w:style w:type="paragraph" w:customStyle="1" w:styleId="Style1">
    <w:name w:val="Style1"/>
    <w:basedOn w:val="ListParagraph"/>
    <w:qFormat/>
    <w:rsid w:val="00B158E2"/>
    <w:pPr>
      <w:numPr>
        <w:numId w:val="32"/>
      </w:numPr>
      <w:spacing w:before="120" w:after="120"/>
      <w:ind w:left="540"/>
      <w:contextualSpacing w:val="0"/>
    </w:pPr>
  </w:style>
  <w:style w:type="paragraph" w:customStyle="1" w:styleId="BulletList">
    <w:name w:val="Bullet List"/>
    <w:basedOn w:val="ListParagraph"/>
    <w:qFormat/>
    <w:rsid w:val="00D44B0F"/>
    <w:pPr>
      <w:numPr>
        <w:numId w:val="33"/>
      </w:numPr>
      <w:spacing w:after="120"/>
      <w:ind w:left="540"/>
      <w:contextualSpacing w:val="0"/>
    </w:pPr>
  </w:style>
  <w:style w:type="paragraph" w:customStyle="1" w:styleId="ArrowLinkList">
    <w:name w:val="Arrow Link List"/>
    <w:basedOn w:val="ListParagraph"/>
    <w:qFormat/>
    <w:rsid w:val="00B158E2"/>
    <w:pPr>
      <w:numPr>
        <w:numId w:val="34"/>
      </w:numPr>
      <w:spacing w:before="120"/>
    </w:pPr>
    <w:rPr>
      <w:b/>
      <w:bCs/>
      <w:color w:val="0968F4" w:themeColor="accent1"/>
      <w:u w:val="single"/>
    </w:rPr>
  </w:style>
  <w:style w:type="paragraph" w:customStyle="1" w:styleId="ArrowLinkListLevel2">
    <w:name w:val="Arrow Link List Level 2"/>
    <w:basedOn w:val="ArrowLinkList"/>
    <w:qFormat/>
    <w:rsid w:val="00D44B0F"/>
    <w:pPr>
      <w:spacing w:before="0"/>
      <w:ind w:left="1440"/>
    </w:pPr>
  </w:style>
  <w:style w:type="paragraph" w:customStyle="1" w:styleId="BulletLevel2">
    <w:name w:val="Bullet Level 2"/>
    <w:basedOn w:val="BulletList"/>
    <w:qFormat/>
    <w:rsid w:val="00B158E2"/>
    <w:pPr>
      <w:numPr>
        <w:ilvl w:val="1"/>
      </w:numPr>
      <w:ind w:left="1080"/>
    </w:pPr>
  </w:style>
  <w:style w:type="character" w:customStyle="1" w:styleId="Heading1Char">
    <w:name w:val="Heading 1 Char"/>
    <w:basedOn w:val="DefaultParagraphFont"/>
    <w:link w:val="Heading1"/>
    <w:uiPriority w:val="9"/>
    <w:rsid w:val="00361E7F"/>
    <w:rPr>
      <w:rFonts w:ascii="Muli" w:eastAsiaTheme="majorEastAsia" w:hAnsi="Muli" w:cstheme="majorBidi"/>
      <w:b/>
      <w:bCs/>
      <w:color w:val="092851" w:themeColor="text2"/>
      <w:sz w:val="32"/>
      <w:szCs w:val="32"/>
    </w:rPr>
  </w:style>
  <w:style w:type="character" w:customStyle="1" w:styleId="Heading2Char">
    <w:name w:val="Heading 2 Char"/>
    <w:basedOn w:val="DefaultParagraphFont"/>
    <w:link w:val="Heading2"/>
    <w:uiPriority w:val="9"/>
    <w:rsid w:val="00361E7F"/>
    <w:rPr>
      <w:rFonts w:ascii="Muli" w:eastAsiaTheme="majorEastAsia" w:hAnsi="Muli" w:cstheme="majorBidi"/>
      <w:b/>
      <w:bCs/>
      <w:color w:val="0968F4" w:themeColor="accent1"/>
      <w:sz w:val="28"/>
      <w:szCs w:val="28"/>
    </w:rPr>
  </w:style>
  <w:style w:type="character" w:customStyle="1" w:styleId="Heading3Char">
    <w:name w:val="Heading 3 Char"/>
    <w:basedOn w:val="DefaultParagraphFont"/>
    <w:link w:val="Heading3"/>
    <w:uiPriority w:val="9"/>
    <w:rsid w:val="00361E7F"/>
    <w:rPr>
      <w:rFonts w:ascii="Muli" w:eastAsiaTheme="majorEastAsia" w:hAnsi="Muli" w:cstheme="majorBidi"/>
      <w:b/>
      <w:bCs/>
      <w:color w:val="2C2C2C" w:themeColor="text1"/>
    </w:rPr>
  </w:style>
  <w:style w:type="paragraph" w:customStyle="1" w:styleId="SubheadingDark">
    <w:name w:val="Subheading Dark"/>
    <w:basedOn w:val="Normal"/>
    <w:qFormat/>
    <w:rsid w:val="00361E7F"/>
    <w:pPr>
      <w:pBdr>
        <w:top w:val="single" w:sz="36" w:space="2" w:color="092851" w:themeColor="text2"/>
        <w:left w:val="single" w:sz="36" w:space="4" w:color="092851" w:themeColor="text2"/>
        <w:bottom w:val="single" w:sz="36" w:space="2" w:color="092851" w:themeColor="text2"/>
        <w:right w:val="single" w:sz="36" w:space="4" w:color="092851" w:themeColor="text2"/>
      </w:pBdr>
      <w:shd w:val="clear" w:color="auto" w:fill="092851" w:themeFill="text2"/>
      <w:spacing w:before="480"/>
      <w:ind w:left="-1260" w:right="-1260" w:firstLine="1260"/>
    </w:pPr>
    <w:rPr>
      <w:rFonts w:ascii="Muli" w:hAnsi="Muli"/>
      <w:b/>
      <w:bCs/>
      <w:color w:val="FFFFFF" w:themeColor="background1"/>
    </w:rPr>
  </w:style>
  <w:style w:type="character" w:styleId="IntenseEmphasis">
    <w:name w:val="Intense Emphasis"/>
    <w:basedOn w:val="DefaultParagraphFont"/>
    <w:uiPriority w:val="21"/>
    <w:qFormat/>
    <w:rsid w:val="00906AB4"/>
    <w:rPr>
      <w:i/>
      <w:iCs/>
      <w:color w:val="0968F4" w:themeColor="accent1"/>
    </w:rPr>
  </w:style>
  <w:style w:type="character" w:styleId="SubtleEmphasis">
    <w:name w:val="Subtle Emphasis"/>
    <w:basedOn w:val="DefaultParagraphFont"/>
    <w:uiPriority w:val="19"/>
    <w:qFormat/>
    <w:rsid w:val="00906AB4"/>
    <w:rPr>
      <w:i/>
      <w:iCs/>
      <w:color w:val="606060" w:themeColor="text1" w:themeTint="BF"/>
    </w:rPr>
  </w:style>
  <w:style w:type="character" w:styleId="Strong">
    <w:name w:val="Strong"/>
    <w:basedOn w:val="DefaultParagraphFont"/>
    <w:uiPriority w:val="22"/>
    <w:qFormat/>
    <w:rsid w:val="00B16279"/>
    <w:rPr>
      <w:b/>
      <w:bCs/>
    </w:rPr>
  </w:style>
  <w:style w:type="paragraph" w:styleId="Subtitle">
    <w:name w:val="Subtitle"/>
    <w:basedOn w:val="Normal"/>
    <w:next w:val="Normal"/>
    <w:link w:val="SubtitleChar"/>
    <w:uiPriority w:val="11"/>
    <w:qFormat/>
    <w:rsid w:val="00B16279"/>
    <w:pPr>
      <w:numPr>
        <w:ilvl w:val="1"/>
      </w:numPr>
      <w:spacing w:after="160"/>
    </w:pPr>
    <w:rPr>
      <w:rFonts w:asciiTheme="minorHAnsi" w:eastAsiaTheme="minorEastAsia" w:hAnsiTheme="minorHAnsi" w:cstheme="minorBidi"/>
      <w:color w:val="767676" w:themeColor="text1" w:themeTint="A5"/>
      <w:spacing w:val="15"/>
      <w:sz w:val="22"/>
      <w:szCs w:val="22"/>
    </w:rPr>
  </w:style>
  <w:style w:type="character" w:customStyle="1" w:styleId="SubtitleChar">
    <w:name w:val="Subtitle Char"/>
    <w:basedOn w:val="DefaultParagraphFont"/>
    <w:link w:val="Subtitle"/>
    <w:uiPriority w:val="11"/>
    <w:rsid w:val="00B16279"/>
    <w:rPr>
      <w:rFonts w:asciiTheme="minorHAnsi" w:eastAsiaTheme="minorEastAsia" w:hAnsiTheme="minorHAnsi"/>
      <w:color w:val="767676" w:themeColor="text1" w:themeTint="A5"/>
      <w:spacing w:val="15"/>
      <w:sz w:val="22"/>
      <w:szCs w:val="22"/>
    </w:rPr>
  </w:style>
  <w:style w:type="paragraph" w:styleId="Quote">
    <w:name w:val="Quote"/>
    <w:basedOn w:val="Normal"/>
    <w:next w:val="Normal"/>
    <w:link w:val="QuoteChar"/>
    <w:uiPriority w:val="29"/>
    <w:qFormat/>
    <w:rsid w:val="00B16279"/>
    <w:pPr>
      <w:spacing w:before="200" w:after="160"/>
      <w:ind w:left="864" w:right="864"/>
      <w:jc w:val="center"/>
    </w:pPr>
    <w:rPr>
      <w:i/>
      <w:iCs/>
      <w:color w:val="606060" w:themeColor="text1" w:themeTint="BF"/>
    </w:rPr>
  </w:style>
  <w:style w:type="character" w:customStyle="1" w:styleId="QuoteChar">
    <w:name w:val="Quote Char"/>
    <w:basedOn w:val="DefaultParagraphFont"/>
    <w:link w:val="Quote"/>
    <w:uiPriority w:val="29"/>
    <w:rsid w:val="00B16279"/>
    <w:rPr>
      <w:rFonts w:ascii="Muli Light" w:hAnsi="Muli Light" w:cs="HelveticaNeueLTPro-Md"/>
      <w:i/>
      <w:iCs/>
      <w:color w:val="606060" w:themeColor="text1" w:themeTint="BF"/>
      <w:sz w:val="20"/>
      <w:szCs w:val="14"/>
    </w:rPr>
  </w:style>
  <w:style w:type="character" w:styleId="CommentReference">
    <w:name w:val="annotation reference"/>
    <w:basedOn w:val="DefaultParagraphFont"/>
    <w:uiPriority w:val="99"/>
    <w:semiHidden/>
    <w:unhideWhenUsed/>
    <w:rsid w:val="001B675A"/>
    <w:rPr>
      <w:sz w:val="16"/>
      <w:szCs w:val="16"/>
    </w:rPr>
  </w:style>
  <w:style w:type="paragraph" w:styleId="CommentText">
    <w:name w:val="annotation text"/>
    <w:basedOn w:val="Normal"/>
    <w:link w:val="CommentTextChar"/>
    <w:uiPriority w:val="99"/>
    <w:unhideWhenUsed/>
    <w:rsid w:val="001B675A"/>
    <w:pPr>
      <w:spacing w:line="240" w:lineRule="auto"/>
    </w:pPr>
    <w:rPr>
      <w:szCs w:val="20"/>
    </w:rPr>
  </w:style>
  <w:style w:type="character" w:customStyle="1" w:styleId="CommentTextChar">
    <w:name w:val="Comment Text Char"/>
    <w:basedOn w:val="DefaultParagraphFont"/>
    <w:link w:val="CommentText"/>
    <w:uiPriority w:val="99"/>
    <w:rsid w:val="001B675A"/>
    <w:rPr>
      <w:rFonts w:ascii="Muli Light" w:hAnsi="Muli Light" w:cs="HelveticaNeueLTPro-Md"/>
      <w:color w:val="2C2C2C" w:themeColor="text1"/>
      <w:sz w:val="20"/>
      <w:szCs w:val="20"/>
    </w:rPr>
  </w:style>
  <w:style w:type="paragraph" w:styleId="CommentSubject">
    <w:name w:val="annotation subject"/>
    <w:basedOn w:val="CommentText"/>
    <w:next w:val="CommentText"/>
    <w:link w:val="CommentSubjectChar"/>
    <w:uiPriority w:val="99"/>
    <w:semiHidden/>
    <w:unhideWhenUsed/>
    <w:rsid w:val="001B675A"/>
    <w:rPr>
      <w:b/>
      <w:bCs/>
    </w:rPr>
  </w:style>
  <w:style w:type="character" w:customStyle="1" w:styleId="CommentSubjectChar">
    <w:name w:val="Comment Subject Char"/>
    <w:basedOn w:val="CommentTextChar"/>
    <w:link w:val="CommentSubject"/>
    <w:uiPriority w:val="99"/>
    <w:semiHidden/>
    <w:rsid w:val="001B675A"/>
    <w:rPr>
      <w:rFonts w:ascii="Muli Light" w:hAnsi="Muli Light" w:cs="HelveticaNeueLTPro-Md"/>
      <w:b/>
      <w:bCs/>
      <w:color w:val="2C2C2C" w:themeColor="text1"/>
      <w:sz w:val="20"/>
      <w:szCs w:val="20"/>
    </w:rPr>
  </w:style>
  <w:style w:type="paragraph" w:styleId="Revision">
    <w:name w:val="Revision"/>
    <w:hidden/>
    <w:uiPriority w:val="99"/>
    <w:semiHidden/>
    <w:rsid w:val="000A650B"/>
    <w:rPr>
      <w:rFonts w:ascii="Muli Light" w:hAnsi="Muli Light" w:cs="HelveticaNeueLTPro-Md"/>
      <w:color w:val="2C2C2C" w:themeColor="text1"/>
      <w:sz w:val="20"/>
      <w:szCs w:val="14"/>
    </w:rPr>
  </w:style>
  <w:style w:type="character" w:styleId="UnresolvedMention">
    <w:name w:val="Unresolved Mention"/>
    <w:basedOn w:val="DefaultParagraphFont"/>
    <w:uiPriority w:val="99"/>
    <w:rsid w:val="00DA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8038">
      <w:bodyDiv w:val="1"/>
      <w:marLeft w:val="0"/>
      <w:marRight w:val="0"/>
      <w:marTop w:val="0"/>
      <w:marBottom w:val="0"/>
      <w:divBdr>
        <w:top w:val="none" w:sz="0" w:space="0" w:color="auto"/>
        <w:left w:val="none" w:sz="0" w:space="0" w:color="auto"/>
        <w:bottom w:val="none" w:sz="0" w:space="0" w:color="auto"/>
        <w:right w:val="none" w:sz="0" w:space="0" w:color="auto"/>
      </w:divBdr>
    </w:div>
    <w:div w:id="1097870347">
      <w:bodyDiv w:val="1"/>
      <w:marLeft w:val="0"/>
      <w:marRight w:val="0"/>
      <w:marTop w:val="0"/>
      <w:marBottom w:val="0"/>
      <w:divBdr>
        <w:top w:val="none" w:sz="0" w:space="0" w:color="auto"/>
        <w:left w:val="none" w:sz="0" w:space="0" w:color="auto"/>
        <w:bottom w:val="none" w:sz="0" w:space="0" w:color="auto"/>
        <w:right w:val="none" w:sz="0" w:space="0" w:color="auto"/>
      </w:divBdr>
      <w:divsChild>
        <w:div w:id="1551262094">
          <w:marLeft w:val="0"/>
          <w:marRight w:val="0"/>
          <w:marTop w:val="0"/>
          <w:marBottom w:val="0"/>
          <w:divBdr>
            <w:top w:val="none" w:sz="0" w:space="0" w:color="auto"/>
            <w:left w:val="none" w:sz="0" w:space="0" w:color="auto"/>
            <w:bottom w:val="none" w:sz="0" w:space="0" w:color="auto"/>
            <w:right w:val="none" w:sz="0" w:space="0" w:color="auto"/>
          </w:divBdr>
        </w:div>
        <w:div w:id="544367356">
          <w:marLeft w:val="0"/>
          <w:marRight w:val="0"/>
          <w:marTop w:val="0"/>
          <w:marBottom w:val="0"/>
          <w:divBdr>
            <w:top w:val="none" w:sz="0" w:space="0" w:color="auto"/>
            <w:left w:val="none" w:sz="0" w:space="0" w:color="auto"/>
            <w:bottom w:val="none" w:sz="0" w:space="0" w:color="auto"/>
            <w:right w:val="none" w:sz="0" w:space="0" w:color="auto"/>
          </w:divBdr>
        </w:div>
        <w:div w:id="2102793613">
          <w:marLeft w:val="0"/>
          <w:marRight w:val="0"/>
          <w:marTop w:val="0"/>
          <w:marBottom w:val="0"/>
          <w:divBdr>
            <w:top w:val="none" w:sz="0" w:space="0" w:color="auto"/>
            <w:left w:val="none" w:sz="0" w:space="0" w:color="auto"/>
            <w:bottom w:val="none" w:sz="0" w:space="0" w:color="auto"/>
            <w:right w:val="none" w:sz="0" w:space="0" w:color="auto"/>
          </w:divBdr>
        </w:div>
      </w:divsChild>
    </w:div>
    <w:div w:id="1533497468">
      <w:bodyDiv w:val="1"/>
      <w:marLeft w:val="0"/>
      <w:marRight w:val="0"/>
      <w:marTop w:val="0"/>
      <w:marBottom w:val="0"/>
      <w:divBdr>
        <w:top w:val="none" w:sz="0" w:space="0" w:color="auto"/>
        <w:left w:val="none" w:sz="0" w:space="0" w:color="auto"/>
        <w:bottom w:val="none" w:sz="0" w:space="0" w:color="auto"/>
        <w:right w:val="none" w:sz="0" w:space="0" w:color="auto"/>
      </w:divBdr>
    </w:div>
    <w:div w:id="1601182098">
      <w:bodyDiv w:val="1"/>
      <w:marLeft w:val="0"/>
      <w:marRight w:val="0"/>
      <w:marTop w:val="0"/>
      <w:marBottom w:val="0"/>
      <w:divBdr>
        <w:top w:val="none" w:sz="0" w:space="0" w:color="auto"/>
        <w:left w:val="none" w:sz="0" w:space="0" w:color="auto"/>
        <w:bottom w:val="none" w:sz="0" w:space="0" w:color="auto"/>
        <w:right w:val="none" w:sz="0" w:space="0" w:color="auto"/>
      </w:divBdr>
      <w:divsChild>
        <w:div w:id="887110034">
          <w:marLeft w:val="0"/>
          <w:marRight w:val="0"/>
          <w:marTop w:val="0"/>
          <w:marBottom w:val="0"/>
          <w:divBdr>
            <w:top w:val="none" w:sz="0" w:space="0" w:color="auto"/>
            <w:left w:val="none" w:sz="0" w:space="0" w:color="auto"/>
            <w:bottom w:val="none" w:sz="0" w:space="0" w:color="auto"/>
            <w:right w:val="none" w:sz="0" w:space="0" w:color="auto"/>
          </w:divBdr>
        </w:div>
        <w:div w:id="733162649">
          <w:marLeft w:val="0"/>
          <w:marRight w:val="0"/>
          <w:marTop w:val="0"/>
          <w:marBottom w:val="0"/>
          <w:divBdr>
            <w:top w:val="none" w:sz="0" w:space="0" w:color="auto"/>
            <w:left w:val="none" w:sz="0" w:space="0" w:color="auto"/>
            <w:bottom w:val="none" w:sz="0" w:space="0" w:color="auto"/>
            <w:right w:val="none" w:sz="0" w:space="0" w:color="auto"/>
          </w:divBdr>
        </w:div>
        <w:div w:id="12172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aresourcecenter.org/audit/prea-audit-assignment-syste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earesourcecenter.org/implementation/training/webinars/prea-auditor-contracting-procurement-agencies" TargetMode="External"/></Relationships>
</file>

<file path=word/theme/theme1.xml><?xml version="1.0" encoding="utf-8"?>
<a:theme xmlns:a="http://schemas.openxmlformats.org/drawingml/2006/main" name="Office Theme">
  <a:themeElements>
    <a:clrScheme name="PREA">
      <a:dk1>
        <a:srgbClr val="2C2C2C"/>
      </a:dk1>
      <a:lt1>
        <a:srgbClr val="FFFFFF"/>
      </a:lt1>
      <a:dk2>
        <a:srgbClr val="092851"/>
      </a:dk2>
      <a:lt2>
        <a:srgbClr val="F5F7FA"/>
      </a:lt2>
      <a:accent1>
        <a:srgbClr val="0968F4"/>
      </a:accent1>
      <a:accent2>
        <a:srgbClr val="DADEE8"/>
      </a:accent2>
      <a:accent3>
        <a:srgbClr val="F4F7FA"/>
      </a:accent3>
      <a:accent4>
        <a:srgbClr val="E98A00"/>
      </a:accent4>
      <a:accent5>
        <a:srgbClr val="D3361C"/>
      </a:accent5>
      <a:accent6>
        <a:srgbClr val="038D8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Dana Shoenberg</cp:lastModifiedBy>
  <cp:revision>2</cp:revision>
  <dcterms:created xsi:type="dcterms:W3CDTF">2022-08-03T19:14:00Z</dcterms:created>
  <dcterms:modified xsi:type="dcterms:W3CDTF">2022-08-03T19:14:00Z</dcterms:modified>
</cp:coreProperties>
</file>